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4B" w:rsidRPr="00294604" w:rsidRDefault="00656331" w:rsidP="00294604">
      <w:pPr>
        <w:jc w:val="center"/>
      </w:pPr>
      <w:bookmarkStart w:id="0" w:name="_GoBack"/>
      <w:bookmarkEnd w:id="0"/>
      <w:r w:rsidRPr="00DF66EF">
        <w:rPr>
          <w:noProof/>
          <w:lang w:eastAsia="en-GB"/>
        </w:rPr>
        <w:drawing>
          <wp:inline distT="0" distB="0" distL="0" distR="0">
            <wp:extent cx="2752725" cy="981075"/>
            <wp:effectExtent l="0" t="0" r="0" b="0"/>
            <wp:docPr id="1" name="Picture 1" descr="ChildHope-final-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ope-final-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981075"/>
                    </a:xfrm>
                    <a:prstGeom prst="rect">
                      <a:avLst/>
                    </a:prstGeom>
                    <a:noFill/>
                    <a:ln>
                      <a:noFill/>
                    </a:ln>
                  </pic:spPr>
                </pic:pic>
              </a:graphicData>
            </a:graphic>
          </wp:inline>
        </w:drawing>
      </w:r>
    </w:p>
    <w:p w:rsidR="008C7E72" w:rsidRPr="00A56ABF" w:rsidRDefault="008C7E72" w:rsidP="00A56ABF">
      <w:pPr>
        <w:pStyle w:val="NormalWeb"/>
        <w:shd w:val="clear" w:color="auto" w:fill="8DB3E2"/>
        <w:spacing w:before="0" w:beforeAutospacing="0" w:after="0"/>
        <w:jc w:val="center"/>
        <w:rPr>
          <w:rFonts w:ascii="Calibri" w:hAnsi="Calibri" w:cs="Microsoft Sans Serif"/>
          <w:b/>
          <w:sz w:val="22"/>
          <w:szCs w:val="22"/>
          <w:lang w:eastAsia="en-US"/>
        </w:rPr>
      </w:pPr>
      <w:r w:rsidRPr="00A56ABF">
        <w:rPr>
          <w:rFonts w:ascii="Calibri" w:hAnsi="Calibri" w:cs="Microsoft Sans Serif"/>
          <w:b/>
          <w:sz w:val="22"/>
          <w:szCs w:val="22"/>
          <w:lang w:eastAsia="en-US"/>
        </w:rPr>
        <w:t>JOB DESCRIPTION</w:t>
      </w:r>
    </w:p>
    <w:p w:rsidR="00FA3DB7" w:rsidRPr="00A56ABF" w:rsidRDefault="00FA3DB7" w:rsidP="000307C5">
      <w:pPr>
        <w:rPr>
          <w:rFonts w:ascii="Calibri" w:hAnsi="Calibri"/>
          <w:sz w:val="22"/>
          <w:szCs w:val="22"/>
        </w:rPr>
      </w:pPr>
    </w:p>
    <w:tbl>
      <w:tblPr>
        <w:tblW w:w="9250" w:type="dxa"/>
        <w:tblInd w:w="120" w:type="dxa"/>
        <w:tblLayout w:type="fixed"/>
        <w:tblCellMar>
          <w:left w:w="120" w:type="dxa"/>
          <w:right w:w="120" w:type="dxa"/>
        </w:tblCellMar>
        <w:tblLook w:val="0000" w:firstRow="0" w:lastRow="0" w:firstColumn="0" w:lastColumn="0" w:noHBand="0" w:noVBand="0"/>
      </w:tblPr>
      <w:tblGrid>
        <w:gridCol w:w="3737"/>
        <w:gridCol w:w="5513"/>
      </w:tblGrid>
      <w:tr w:rsidR="00C44631" w:rsidRPr="00A56ABF" w:rsidTr="009549BC">
        <w:trPr>
          <w:trHeight w:val="281"/>
        </w:trPr>
        <w:tc>
          <w:tcPr>
            <w:tcW w:w="3737" w:type="dxa"/>
            <w:tcBorders>
              <w:top w:val="single" w:sz="4" w:space="0" w:color="auto"/>
              <w:left w:val="single" w:sz="4" w:space="0" w:color="auto"/>
              <w:right w:val="single" w:sz="4" w:space="0" w:color="auto"/>
            </w:tcBorders>
            <w:shd w:val="clear" w:color="auto" w:fill="5B9BD5"/>
          </w:tcPr>
          <w:p w:rsidR="009549BC" w:rsidRPr="00D95474" w:rsidRDefault="00C44631" w:rsidP="009549BC">
            <w:pPr>
              <w:rPr>
                <w:rFonts w:asciiTheme="majorHAnsi" w:hAnsiTheme="majorHAnsi" w:cstheme="majorHAnsi"/>
                <w:b/>
                <w:sz w:val="22"/>
                <w:szCs w:val="22"/>
              </w:rPr>
            </w:pPr>
            <w:r w:rsidRPr="00D95474">
              <w:rPr>
                <w:rFonts w:asciiTheme="majorHAnsi" w:hAnsiTheme="majorHAnsi" w:cstheme="majorHAnsi"/>
                <w:b/>
                <w:sz w:val="22"/>
                <w:szCs w:val="22"/>
              </w:rPr>
              <w:t>JOB TITLE</w:t>
            </w:r>
          </w:p>
          <w:p w:rsidR="009549BC" w:rsidRPr="00D95474" w:rsidRDefault="009549BC" w:rsidP="009549BC">
            <w:pPr>
              <w:rPr>
                <w:rFonts w:asciiTheme="majorHAnsi" w:hAnsiTheme="majorHAnsi" w:cstheme="majorHAnsi"/>
                <w:b/>
                <w:sz w:val="22"/>
                <w:szCs w:val="22"/>
              </w:rPr>
            </w:pPr>
            <w:r w:rsidRPr="00D95474">
              <w:rPr>
                <w:rFonts w:asciiTheme="majorHAnsi" w:hAnsiTheme="majorHAnsi" w:cstheme="majorHAnsi"/>
                <w:b/>
                <w:sz w:val="22"/>
                <w:szCs w:val="22"/>
              </w:rPr>
              <w:t>PROGRAMME</w:t>
            </w:r>
          </w:p>
          <w:p w:rsidR="009549BC" w:rsidRPr="00D95474" w:rsidRDefault="009549BC" w:rsidP="009549BC">
            <w:pPr>
              <w:rPr>
                <w:rFonts w:asciiTheme="majorHAnsi" w:hAnsiTheme="majorHAnsi" w:cstheme="majorHAnsi"/>
                <w:b/>
                <w:sz w:val="22"/>
                <w:szCs w:val="22"/>
              </w:rPr>
            </w:pPr>
            <w:r w:rsidRPr="00D95474">
              <w:rPr>
                <w:rFonts w:asciiTheme="majorHAnsi" w:hAnsiTheme="majorHAnsi" w:cstheme="majorHAnsi"/>
                <w:b/>
                <w:sz w:val="22"/>
                <w:szCs w:val="22"/>
              </w:rPr>
              <w:t>HOURS OF WORK</w:t>
            </w:r>
          </w:p>
          <w:p w:rsidR="009549BC" w:rsidRPr="00D95474" w:rsidRDefault="009549BC" w:rsidP="009549BC">
            <w:pPr>
              <w:rPr>
                <w:rFonts w:asciiTheme="majorHAnsi" w:hAnsiTheme="majorHAnsi" w:cstheme="majorHAnsi"/>
                <w:b/>
                <w:sz w:val="22"/>
                <w:szCs w:val="22"/>
              </w:rPr>
            </w:pPr>
            <w:r w:rsidRPr="00D95474">
              <w:rPr>
                <w:rFonts w:asciiTheme="majorHAnsi" w:hAnsiTheme="majorHAnsi" w:cstheme="majorHAnsi"/>
                <w:b/>
                <w:sz w:val="22"/>
                <w:szCs w:val="22"/>
              </w:rPr>
              <w:t>CONTRACT</w:t>
            </w:r>
          </w:p>
          <w:p w:rsidR="009549BC" w:rsidRPr="00D95474" w:rsidRDefault="009549BC" w:rsidP="009549BC">
            <w:pPr>
              <w:rPr>
                <w:rFonts w:asciiTheme="majorHAnsi" w:hAnsiTheme="majorHAnsi" w:cstheme="majorHAnsi"/>
                <w:b/>
                <w:sz w:val="22"/>
                <w:szCs w:val="22"/>
              </w:rPr>
            </w:pPr>
            <w:r w:rsidRPr="00D95474">
              <w:rPr>
                <w:rFonts w:asciiTheme="majorHAnsi" w:hAnsiTheme="majorHAnsi" w:cstheme="majorHAnsi"/>
                <w:b/>
                <w:sz w:val="22"/>
                <w:szCs w:val="22"/>
              </w:rPr>
              <w:t>REPORTING TO:</w:t>
            </w:r>
          </w:p>
          <w:p w:rsidR="00C44631" w:rsidRPr="00D95474" w:rsidRDefault="00C44631" w:rsidP="009549BC">
            <w:pPr>
              <w:rPr>
                <w:b/>
                <w:sz w:val="22"/>
                <w:szCs w:val="22"/>
              </w:rPr>
            </w:pPr>
            <w:r w:rsidRPr="00D95474">
              <w:rPr>
                <w:rFonts w:asciiTheme="majorHAnsi" w:hAnsiTheme="majorHAnsi" w:cstheme="majorHAnsi"/>
                <w:b/>
                <w:sz w:val="22"/>
                <w:szCs w:val="22"/>
              </w:rPr>
              <w:t xml:space="preserve">  </w:t>
            </w:r>
          </w:p>
        </w:tc>
        <w:tc>
          <w:tcPr>
            <w:tcW w:w="5513" w:type="dxa"/>
            <w:tcBorders>
              <w:top w:val="single" w:sz="4" w:space="0" w:color="auto"/>
              <w:left w:val="single" w:sz="4" w:space="0" w:color="auto"/>
              <w:right w:val="single" w:sz="4" w:space="0" w:color="auto"/>
            </w:tcBorders>
          </w:tcPr>
          <w:p w:rsidR="009549BC" w:rsidRPr="00D95474" w:rsidRDefault="009549BC" w:rsidP="009549BC">
            <w:pPr>
              <w:rPr>
                <w:rFonts w:asciiTheme="majorHAnsi" w:hAnsiTheme="majorHAnsi" w:cs="DIN Condensed"/>
                <w:b/>
                <w:bCs/>
                <w:sz w:val="22"/>
                <w:szCs w:val="22"/>
              </w:rPr>
            </w:pPr>
            <w:r w:rsidRPr="00D95474">
              <w:rPr>
                <w:rFonts w:asciiTheme="majorHAnsi" w:hAnsiTheme="majorHAnsi" w:cs="DIN Condensed"/>
                <w:b/>
                <w:bCs/>
                <w:sz w:val="22"/>
                <w:szCs w:val="22"/>
              </w:rPr>
              <w:t>EDUCATION PARTNERSHIPS ADVISOR</w:t>
            </w:r>
          </w:p>
          <w:p w:rsidR="009549BC" w:rsidRPr="00D95474" w:rsidRDefault="009549BC" w:rsidP="009549BC">
            <w:pPr>
              <w:rPr>
                <w:rFonts w:asciiTheme="majorHAnsi" w:hAnsiTheme="majorHAnsi" w:cs="DIN Condensed"/>
                <w:b/>
                <w:bCs/>
                <w:sz w:val="22"/>
                <w:szCs w:val="22"/>
              </w:rPr>
            </w:pPr>
            <w:r w:rsidRPr="00D95474">
              <w:rPr>
                <w:rFonts w:asciiTheme="majorHAnsi" w:hAnsiTheme="majorHAnsi" w:cs="DIN Condensed"/>
                <w:b/>
                <w:bCs/>
                <w:sz w:val="22"/>
                <w:szCs w:val="22"/>
              </w:rPr>
              <w:t>GIRLS EDUCATION CHALLENGE</w:t>
            </w:r>
          </w:p>
          <w:p w:rsidR="009549BC" w:rsidRPr="00D95474" w:rsidRDefault="009549BC" w:rsidP="009549BC">
            <w:pPr>
              <w:rPr>
                <w:rFonts w:asciiTheme="majorHAnsi" w:hAnsiTheme="majorHAnsi" w:cs="DIN Condensed"/>
                <w:b/>
                <w:bCs/>
                <w:sz w:val="22"/>
                <w:szCs w:val="22"/>
              </w:rPr>
            </w:pPr>
            <w:r w:rsidRPr="00D95474">
              <w:rPr>
                <w:rFonts w:asciiTheme="majorHAnsi" w:hAnsiTheme="majorHAnsi" w:cs="DIN Condensed"/>
                <w:b/>
                <w:bCs/>
                <w:sz w:val="22"/>
                <w:szCs w:val="22"/>
              </w:rPr>
              <w:t>37.5</w:t>
            </w:r>
          </w:p>
          <w:p w:rsidR="009549BC" w:rsidRPr="00D95474" w:rsidRDefault="006B2E7D" w:rsidP="009549BC">
            <w:pPr>
              <w:rPr>
                <w:rFonts w:asciiTheme="majorHAnsi" w:hAnsiTheme="majorHAnsi" w:cs="DIN Condensed"/>
                <w:b/>
                <w:bCs/>
                <w:sz w:val="22"/>
                <w:szCs w:val="22"/>
              </w:rPr>
            </w:pPr>
            <w:r>
              <w:rPr>
                <w:rFonts w:asciiTheme="majorHAnsi" w:hAnsiTheme="majorHAnsi" w:cs="DIN Condensed"/>
                <w:b/>
                <w:bCs/>
                <w:sz w:val="22"/>
                <w:szCs w:val="22"/>
              </w:rPr>
              <w:t>3 YEARS</w:t>
            </w:r>
          </w:p>
          <w:p w:rsidR="009549BC" w:rsidRPr="00D95474" w:rsidRDefault="009549BC" w:rsidP="009549BC">
            <w:pPr>
              <w:rPr>
                <w:rFonts w:asciiTheme="majorHAnsi" w:hAnsiTheme="majorHAnsi" w:cs="DIN Condensed"/>
                <w:b/>
                <w:bCs/>
                <w:sz w:val="22"/>
                <w:szCs w:val="22"/>
              </w:rPr>
            </w:pPr>
            <w:r w:rsidRPr="00D95474">
              <w:rPr>
                <w:rFonts w:asciiTheme="majorHAnsi" w:hAnsiTheme="majorHAnsi" w:cs="DIN Condensed"/>
                <w:b/>
                <w:bCs/>
                <w:sz w:val="22"/>
                <w:szCs w:val="22"/>
              </w:rPr>
              <w:t>GEC STRATEGIC PARTNERSHIPS AND PROGRAMMES MANAGER</w:t>
            </w:r>
          </w:p>
        </w:tc>
      </w:tr>
      <w:tr w:rsidR="00C44631" w:rsidRPr="00A56ABF" w:rsidTr="009549BC">
        <w:trPr>
          <w:trHeight w:val="95"/>
        </w:trPr>
        <w:tc>
          <w:tcPr>
            <w:tcW w:w="3737" w:type="dxa"/>
            <w:tcBorders>
              <w:left w:val="single" w:sz="4" w:space="0" w:color="auto"/>
              <w:right w:val="single" w:sz="4" w:space="0" w:color="auto"/>
            </w:tcBorders>
            <w:shd w:val="clear" w:color="auto" w:fill="5B9BD5"/>
          </w:tcPr>
          <w:p w:rsidR="009549BC" w:rsidRPr="009549BC" w:rsidRDefault="009549BC" w:rsidP="009549BC">
            <w:pPr>
              <w:rPr>
                <w:sz w:val="22"/>
                <w:szCs w:val="22"/>
              </w:rPr>
            </w:pPr>
          </w:p>
        </w:tc>
        <w:tc>
          <w:tcPr>
            <w:tcW w:w="5513" w:type="dxa"/>
            <w:tcBorders>
              <w:left w:val="single" w:sz="4" w:space="0" w:color="auto"/>
              <w:right w:val="single" w:sz="4" w:space="0" w:color="auto"/>
            </w:tcBorders>
          </w:tcPr>
          <w:p w:rsidR="00C44631" w:rsidRPr="00A56ABF" w:rsidRDefault="00C44631" w:rsidP="009549BC"/>
        </w:tc>
      </w:tr>
      <w:tr w:rsidR="00C44631" w:rsidRPr="00A56ABF" w:rsidTr="009549BC">
        <w:trPr>
          <w:trHeight w:val="47"/>
        </w:trPr>
        <w:tc>
          <w:tcPr>
            <w:tcW w:w="3737" w:type="dxa"/>
            <w:tcBorders>
              <w:left w:val="single" w:sz="4" w:space="0" w:color="auto"/>
              <w:bottom w:val="single" w:sz="4" w:space="0" w:color="auto"/>
              <w:right w:val="single" w:sz="4" w:space="0" w:color="auto"/>
            </w:tcBorders>
            <w:shd w:val="clear" w:color="auto" w:fill="5B9BD5"/>
          </w:tcPr>
          <w:p w:rsidR="00F7474D" w:rsidRPr="009549BC" w:rsidRDefault="00F7474D" w:rsidP="009549BC">
            <w:pPr>
              <w:rPr>
                <w:sz w:val="22"/>
                <w:szCs w:val="22"/>
              </w:rPr>
            </w:pPr>
          </w:p>
        </w:tc>
        <w:tc>
          <w:tcPr>
            <w:tcW w:w="5513" w:type="dxa"/>
            <w:tcBorders>
              <w:left w:val="single" w:sz="4" w:space="0" w:color="auto"/>
              <w:bottom w:val="single" w:sz="4" w:space="0" w:color="auto"/>
              <w:right w:val="single" w:sz="4" w:space="0" w:color="auto"/>
            </w:tcBorders>
          </w:tcPr>
          <w:p w:rsidR="00F7474D" w:rsidRPr="00A56ABF" w:rsidRDefault="00F7474D" w:rsidP="009549BC"/>
        </w:tc>
      </w:tr>
    </w:tbl>
    <w:p w:rsidR="0012243E" w:rsidRPr="00A56ABF" w:rsidRDefault="0012243E" w:rsidP="00A56ABF">
      <w:pPr>
        <w:pStyle w:val="NormalWeb"/>
        <w:shd w:val="clear" w:color="auto" w:fill="FFFFFF"/>
        <w:spacing w:before="0" w:beforeAutospacing="0" w:after="0"/>
        <w:rPr>
          <w:rFonts w:ascii="Calibri" w:hAnsi="Calibri" w:cs="Microsoft Sans Serif"/>
          <w:b/>
          <w:sz w:val="22"/>
          <w:szCs w:val="22"/>
          <w:lang w:eastAsia="en-US"/>
        </w:rPr>
      </w:pPr>
    </w:p>
    <w:p w:rsidR="003946F2" w:rsidRDefault="004D37A3" w:rsidP="003946F2">
      <w:pPr>
        <w:pStyle w:val="NormalWeb"/>
        <w:shd w:val="clear" w:color="auto" w:fill="8DB3E2"/>
        <w:spacing w:before="0" w:beforeAutospacing="0" w:after="0"/>
        <w:rPr>
          <w:sz w:val="20"/>
          <w:szCs w:val="20"/>
        </w:rPr>
      </w:pPr>
      <w:r w:rsidRPr="00A56ABF">
        <w:rPr>
          <w:rFonts w:ascii="Calibri" w:hAnsi="Calibri" w:cs="Microsoft Sans Serif"/>
          <w:b/>
          <w:sz w:val="22"/>
          <w:szCs w:val="22"/>
          <w:lang w:eastAsia="en-US"/>
        </w:rPr>
        <w:t>Introduction:</w:t>
      </w:r>
    </w:p>
    <w:p w:rsidR="004061EC" w:rsidRDefault="003946F2" w:rsidP="004061EC">
      <w:pPr>
        <w:jc w:val="both"/>
        <w:rPr>
          <w:sz w:val="20"/>
          <w:szCs w:val="20"/>
        </w:rPr>
      </w:pPr>
      <w:r>
        <w:rPr>
          <w:sz w:val="20"/>
          <w:szCs w:val="20"/>
        </w:rPr>
        <w:t>.</w:t>
      </w:r>
    </w:p>
    <w:p w:rsidR="000F2914" w:rsidRPr="000F2914" w:rsidRDefault="000E239C" w:rsidP="000F2914">
      <w:pPr>
        <w:jc w:val="both"/>
        <w:rPr>
          <w:rFonts w:asciiTheme="minorHAnsi" w:hAnsiTheme="minorHAnsi" w:cstheme="minorHAnsi"/>
          <w:sz w:val="22"/>
          <w:szCs w:val="22"/>
        </w:rPr>
      </w:pPr>
      <w:r w:rsidRPr="000F2914">
        <w:rPr>
          <w:rFonts w:asciiTheme="minorHAnsi" w:hAnsiTheme="minorHAnsi" w:cstheme="minorHAnsi"/>
          <w:sz w:val="22"/>
          <w:szCs w:val="22"/>
        </w:rPr>
        <w:t xml:space="preserve">The role holder </w:t>
      </w:r>
      <w:r w:rsidR="000F2914" w:rsidRPr="000F2914">
        <w:rPr>
          <w:rFonts w:asciiTheme="minorHAnsi" w:hAnsiTheme="minorHAnsi" w:cstheme="minorHAnsi"/>
          <w:sz w:val="22"/>
          <w:szCs w:val="22"/>
        </w:rPr>
        <w:t xml:space="preserve">will </w:t>
      </w:r>
      <w:r w:rsidR="000F2914">
        <w:rPr>
          <w:rFonts w:asciiTheme="minorHAnsi" w:hAnsiTheme="minorHAnsi" w:cstheme="minorHAnsi"/>
          <w:sz w:val="22"/>
          <w:szCs w:val="22"/>
        </w:rPr>
        <w:t>assist in the provision of</w:t>
      </w:r>
      <w:r w:rsidR="000F2914" w:rsidRPr="000F2914">
        <w:rPr>
          <w:rFonts w:asciiTheme="minorHAnsi" w:hAnsiTheme="minorHAnsi" w:cstheme="minorHAnsi"/>
          <w:sz w:val="22"/>
          <w:szCs w:val="22"/>
        </w:rPr>
        <w:t xml:space="preserve"> high quality teacher training, coaching and mentoring</w:t>
      </w:r>
      <w:r w:rsidR="000F2914">
        <w:rPr>
          <w:rFonts w:asciiTheme="minorHAnsi" w:hAnsiTheme="minorHAnsi" w:cstheme="minorHAnsi"/>
          <w:sz w:val="22"/>
          <w:szCs w:val="22"/>
        </w:rPr>
        <w:t>. D</w:t>
      </w:r>
      <w:r w:rsidR="000F2914" w:rsidRPr="000F2914">
        <w:rPr>
          <w:rFonts w:asciiTheme="minorHAnsi" w:hAnsiTheme="minorHAnsi" w:cstheme="minorHAnsi"/>
          <w:sz w:val="22"/>
          <w:szCs w:val="22"/>
        </w:rPr>
        <w:t>eveloping more effective pedagogy for language, mathematics and science is critical to turning around poor learning outcomes. Develop the capacity of education departments to improve teacher development and track girls’ learning outcomes in order to leverage sustainable outcomes</w:t>
      </w:r>
      <w:r w:rsidR="000F2914">
        <w:rPr>
          <w:rFonts w:asciiTheme="minorHAnsi" w:hAnsiTheme="minorHAnsi" w:cstheme="minorHAnsi"/>
          <w:sz w:val="22"/>
          <w:szCs w:val="22"/>
        </w:rPr>
        <w:t xml:space="preserve">. </w:t>
      </w:r>
      <w:r w:rsidR="000F2914" w:rsidRPr="000F2914">
        <w:rPr>
          <w:rFonts w:asciiTheme="minorHAnsi" w:hAnsiTheme="minorHAnsi" w:cstheme="minorHAnsi"/>
          <w:sz w:val="22"/>
          <w:szCs w:val="22"/>
        </w:rPr>
        <w:t xml:space="preserve">Pedagogical support should </w:t>
      </w:r>
      <w:r w:rsidR="000F2914">
        <w:rPr>
          <w:rFonts w:asciiTheme="minorHAnsi" w:hAnsiTheme="minorHAnsi" w:cstheme="minorHAnsi"/>
          <w:sz w:val="22"/>
          <w:szCs w:val="22"/>
        </w:rPr>
        <w:t xml:space="preserve">also </w:t>
      </w:r>
      <w:r w:rsidR="000F2914" w:rsidRPr="000F2914">
        <w:rPr>
          <w:rFonts w:asciiTheme="minorHAnsi" w:hAnsiTheme="minorHAnsi" w:cstheme="minorHAnsi"/>
          <w:sz w:val="22"/>
          <w:szCs w:val="22"/>
        </w:rPr>
        <w:t>address constraints of bilingual teaching (teachers lacking fluency in English) and weaknesses in subject knowledge (especially in English and mathematics)</w:t>
      </w:r>
    </w:p>
    <w:p w:rsidR="000F2914" w:rsidRPr="000F2914" w:rsidRDefault="000F2914" w:rsidP="000F2914">
      <w:pPr>
        <w:jc w:val="both"/>
        <w:rPr>
          <w:rFonts w:asciiTheme="minorHAnsi" w:hAnsiTheme="minorHAnsi" w:cstheme="minorHAnsi"/>
          <w:sz w:val="22"/>
          <w:szCs w:val="22"/>
        </w:rPr>
      </w:pPr>
    </w:p>
    <w:p w:rsidR="000F2914" w:rsidRPr="000F2914" w:rsidRDefault="000F2914" w:rsidP="000F2914">
      <w:pPr>
        <w:jc w:val="both"/>
        <w:rPr>
          <w:rFonts w:asciiTheme="minorHAnsi" w:hAnsiTheme="minorHAnsi" w:cstheme="minorHAnsi"/>
          <w:sz w:val="22"/>
          <w:szCs w:val="22"/>
        </w:rPr>
      </w:pPr>
      <w:r w:rsidRPr="000F2914">
        <w:rPr>
          <w:rFonts w:asciiTheme="minorHAnsi" w:hAnsiTheme="minorHAnsi" w:cstheme="minorHAnsi"/>
          <w:sz w:val="22"/>
          <w:szCs w:val="22"/>
          <w:lang w:eastAsia="en-GB"/>
        </w:rPr>
        <w:t xml:space="preserve">GEC-T will actively collaborate with education departments and </w:t>
      </w:r>
      <w:r w:rsidRPr="000F2914">
        <w:rPr>
          <w:rFonts w:asciiTheme="minorHAnsi" w:hAnsiTheme="minorHAnsi" w:cstheme="minorHAnsi"/>
          <w:sz w:val="22"/>
          <w:szCs w:val="22"/>
        </w:rPr>
        <w:t>increase their expertise in teacher professional development and tracking learning outcomes</w:t>
      </w:r>
    </w:p>
    <w:p w:rsidR="000F2914" w:rsidRPr="000F2914" w:rsidRDefault="000F2914" w:rsidP="000F2914">
      <w:pPr>
        <w:jc w:val="both"/>
        <w:rPr>
          <w:rFonts w:asciiTheme="minorHAnsi" w:hAnsiTheme="minorHAnsi" w:cstheme="minorHAnsi"/>
          <w:sz w:val="22"/>
          <w:szCs w:val="22"/>
        </w:rPr>
      </w:pPr>
    </w:p>
    <w:p w:rsidR="004061EC" w:rsidRPr="004061EC" w:rsidRDefault="004061EC" w:rsidP="004061EC">
      <w:pPr>
        <w:jc w:val="both"/>
        <w:rPr>
          <w:rFonts w:asciiTheme="minorHAnsi" w:hAnsiTheme="minorHAnsi" w:cstheme="minorHAnsi"/>
          <w:sz w:val="22"/>
          <w:szCs w:val="22"/>
        </w:rPr>
      </w:pPr>
    </w:p>
    <w:p w:rsidR="0005276A" w:rsidRPr="009549BC" w:rsidRDefault="0005276A" w:rsidP="00A56ABF">
      <w:pPr>
        <w:shd w:val="clear" w:color="auto" w:fill="8DB3E2"/>
        <w:rPr>
          <w:rFonts w:ascii="Calibri" w:hAnsi="Calibri" w:cs="Microsoft Sans Serif"/>
          <w:b/>
          <w:bCs/>
          <w:color w:val="5B9BD5"/>
          <w:sz w:val="22"/>
          <w:szCs w:val="22"/>
        </w:rPr>
      </w:pPr>
      <w:r>
        <w:rPr>
          <w:rFonts w:ascii="Calibri" w:hAnsi="Calibri" w:cs="Microsoft Sans Serif"/>
          <w:b/>
          <w:sz w:val="22"/>
          <w:szCs w:val="22"/>
        </w:rPr>
        <w:t>Principle objectives of the job:</w:t>
      </w:r>
    </w:p>
    <w:p w:rsidR="0005276A" w:rsidRDefault="0005276A" w:rsidP="00656331">
      <w:pPr>
        <w:pStyle w:val="ListParagraph"/>
        <w:spacing w:after="160" w:line="259" w:lineRule="auto"/>
        <w:ind w:left="284"/>
        <w:rPr>
          <w:rFonts w:eastAsia="Calibri"/>
          <w:b/>
        </w:rPr>
      </w:pPr>
    </w:p>
    <w:p w:rsidR="009549BC" w:rsidRPr="000B43F8" w:rsidRDefault="009549BC" w:rsidP="009549BC">
      <w:pPr>
        <w:pStyle w:val="Default"/>
        <w:rPr>
          <w:rFonts w:asciiTheme="majorHAnsi" w:hAnsiTheme="majorHAnsi" w:cs="DIN Condensed"/>
          <w:sz w:val="22"/>
          <w:szCs w:val="22"/>
        </w:rPr>
      </w:pPr>
      <w:r w:rsidRPr="000B43F8">
        <w:rPr>
          <w:rFonts w:asciiTheme="majorHAnsi" w:hAnsiTheme="majorHAnsi" w:cs="DIN Condensed"/>
          <w:b/>
          <w:bCs/>
          <w:sz w:val="22"/>
          <w:szCs w:val="22"/>
        </w:rPr>
        <w:t xml:space="preserve">Objectives  </w:t>
      </w:r>
    </w:p>
    <w:p w:rsidR="009549BC" w:rsidRPr="000B43F8" w:rsidRDefault="009549BC" w:rsidP="009549BC">
      <w:pPr>
        <w:pStyle w:val="Default"/>
        <w:rPr>
          <w:rFonts w:asciiTheme="majorHAnsi" w:hAnsiTheme="majorHAnsi"/>
          <w:sz w:val="22"/>
          <w:szCs w:val="22"/>
        </w:rPr>
      </w:pPr>
    </w:p>
    <w:p w:rsidR="009549BC" w:rsidRPr="000B43F8" w:rsidRDefault="009549BC" w:rsidP="009549BC">
      <w:pPr>
        <w:pStyle w:val="ListParagraph"/>
        <w:numPr>
          <w:ilvl w:val="0"/>
          <w:numId w:val="41"/>
        </w:numPr>
        <w:jc w:val="both"/>
        <w:rPr>
          <w:rFonts w:asciiTheme="majorHAnsi" w:hAnsiTheme="majorHAnsi"/>
        </w:rPr>
      </w:pPr>
      <w:r w:rsidRPr="000B43F8">
        <w:rPr>
          <w:rFonts w:asciiTheme="majorHAnsi" w:hAnsiTheme="majorHAnsi"/>
        </w:rPr>
        <w:t xml:space="preserve">To </w:t>
      </w:r>
      <w:r>
        <w:rPr>
          <w:rFonts w:asciiTheme="majorHAnsi" w:hAnsiTheme="majorHAnsi"/>
        </w:rPr>
        <w:t xml:space="preserve">lead </w:t>
      </w:r>
      <w:r w:rsidRPr="000B43F8">
        <w:rPr>
          <w:rFonts w:asciiTheme="majorHAnsi" w:hAnsiTheme="majorHAnsi"/>
        </w:rPr>
        <w:t>and overs</w:t>
      </w:r>
      <w:r>
        <w:rPr>
          <w:rFonts w:asciiTheme="majorHAnsi" w:hAnsiTheme="majorHAnsi"/>
        </w:rPr>
        <w:t>ee</w:t>
      </w:r>
      <w:r w:rsidRPr="000B43F8">
        <w:rPr>
          <w:rFonts w:asciiTheme="majorHAnsi" w:hAnsiTheme="majorHAnsi"/>
        </w:rPr>
        <w:t xml:space="preserve"> development and implementation of more effective literacy and mathematics pedagogy strategies to support marginalised girls in Ethiopia to learn and transition from primary to secondary.</w:t>
      </w:r>
    </w:p>
    <w:p w:rsidR="009549BC" w:rsidRDefault="009549BC" w:rsidP="009549BC">
      <w:pPr>
        <w:pStyle w:val="ListParagraph"/>
        <w:numPr>
          <w:ilvl w:val="0"/>
          <w:numId w:val="41"/>
        </w:numPr>
        <w:jc w:val="both"/>
        <w:rPr>
          <w:rFonts w:asciiTheme="majorHAnsi" w:hAnsiTheme="majorHAnsi"/>
        </w:rPr>
      </w:pPr>
      <w:r>
        <w:rPr>
          <w:rFonts w:asciiTheme="majorHAnsi" w:hAnsiTheme="majorHAnsi"/>
        </w:rPr>
        <w:t xml:space="preserve">Manage and coordinate delivery of specific </w:t>
      </w:r>
      <w:r w:rsidRPr="00055793">
        <w:rPr>
          <w:rFonts w:asciiTheme="majorHAnsi" w:hAnsiTheme="majorHAnsi"/>
        </w:rPr>
        <w:t xml:space="preserve">technical </w:t>
      </w:r>
      <w:r>
        <w:rPr>
          <w:rFonts w:asciiTheme="majorHAnsi" w:hAnsiTheme="majorHAnsi"/>
        </w:rPr>
        <w:t xml:space="preserve">assistance </w:t>
      </w:r>
      <w:r w:rsidRPr="00055793">
        <w:rPr>
          <w:rFonts w:asciiTheme="majorHAnsi" w:hAnsiTheme="majorHAnsi"/>
        </w:rPr>
        <w:t xml:space="preserve">from London </w:t>
      </w:r>
      <w:r>
        <w:rPr>
          <w:rFonts w:asciiTheme="majorHAnsi" w:hAnsiTheme="majorHAnsi"/>
        </w:rPr>
        <w:t xml:space="preserve">to partners in Ethiopia especially in the </w:t>
      </w:r>
      <w:r w:rsidRPr="00055793">
        <w:rPr>
          <w:rFonts w:asciiTheme="majorHAnsi" w:hAnsiTheme="majorHAnsi"/>
        </w:rPr>
        <w:t>areas of Monitoring, Evaluation and Learning (MEL), Finance, Social Nor</w:t>
      </w:r>
      <w:r>
        <w:rPr>
          <w:rFonts w:asciiTheme="majorHAnsi" w:hAnsiTheme="majorHAnsi"/>
        </w:rPr>
        <w:t>ms and Disability Mainstreaming.</w:t>
      </w:r>
      <w:r w:rsidRPr="00055793">
        <w:rPr>
          <w:rFonts w:asciiTheme="majorHAnsi" w:hAnsiTheme="majorHAnsi"/>
        </w:rPr>
        <w:t xml:space="preserve"> </w:t>
      </w:r>
    </w:p>
    <w:p w:rsidR="009549BC" w:rsidRDefault="009549BC" w:rsidP="009549BC">
      <w:pPr>
        <w:pStyle w:val="ListParagraph"/>
        <w:numPr>
          <w:ilvl w:val="0"/>
          <w:numId w:val="41"/>
        </w:numPr>
        <w:jc w:val="both"/>
        <w:rPr>
          <w:rFonts w:asciiTheme="majorHAnsi" w:hAnsiTheme="majorHAnsi"/>
        </w:rPr>
      </w:pPr>
      <w:r>
        <w:rPr>
          <w:rFonts w:asciiTheme="majorHAnsi" w:hAnsiTheme="majorHAnsi"/>
        </w:rPr>
        <w:t xml:space="preserve">Represent ChildHope in Ethiopia to donor, government, technical and NGOs partners including managing relationships delegated from London. </w:t>
      </w:r>
    </w:p>
    <w:p w:rsidR="004061EC" w:rsidRDefault="004061EC" w:rsidP="004061EC">
      <w:pPr>
        <w:jc w:val="both"/>
        <w:rPr>
          <w:rFonts w:asciiTheme="majorHAnsi" w:hAnsiTheme="majorHAnsi"/>
        </w:rPr>
      </w:pPr>
    </w:p>
    <w:p w:rsidR="004061EC" w:rsidRDefault="004061EC" w:rsidP="004061EC">
      <w:pPr>
        <w:jc w:val="both"/>
        <w:rPr>
          <w:rFonts w:asciiTheme="majorHAnsi" w:hAnsiTheme="majorHAnsi"/>
        </w:rPr>
      </w:pPr>
    </w:p>
    <w:p w:rsidR="004061EC" w:rsidRDefault="004061EC" w:rsidP="004061EC">
      <w:pPr>
        <w:jc w:val="both"/>
        <w:rPr>
          <w:rFonts w:asciiTheme="majorHAnsi" w:hAnsiTheme="majorHAnsi"/>
        </w:rPr>
      </w:pPr>
    </w:p>
    <w:p w:rsidR="004061EC" w:rsidRDefault="004061EC" w:rsidP="004061EC">
      <w:pPr>
        <w:jc w:val="both"/>
        <w:rPr>
          <w:rFonts w:asciiTheme="majorHAnsi" w:hAnsiTheme="majorHAnsi"/>
        </w:rPr>
      </w:pPr>
    </w:p>
    <w:p w:rsidR="004061EC" w:rsidRDefault="004061EC" w:rsidP="004061EC">
      <w:pPr>
        <w:jc w:val="both"/>
        <w:rPr>
          <w:rFonts w:asciiTheme="majorHAnsi" w:hAnsiTheme="majorHAnsi"/>
        </w:rPr>
      </w:pPr>
    </w:p>
    <w:p w:rsidR="004061EC" w:rsidRPr="004061EC" w:rsidRDefault="004061EC" w:rsidP="004061EC">
      <w:pPr>
        <w:jc w:val="both"/>
        <w:rPr>
          <w:rFonts w:asciiTheme="majorHAnsi" w:hAnsiTheme="majorHAnsi"/>
        </w:rPr>
      </w:pPr>
    </w:p>
    <w:p w:rsidR="009549BC" w:rsidRDefault="009549BC" w:rsidP="009549BC">
      <w:pPr>
        <w:spacing w:after="160" w:line="259" w:lineRule="auto"/>
        <w:jc w:val="both"/>
        <w:rPr>
          <w:rFonts w:ascii="Calibri" w:eastAsia="Calibri" w:hAnsi="Calibri"/>
          <w:i/>
          <w:sz w:val="22"/>
          <w:szCs w:val="22"/>
        </w:rPr>
      </w:pPr>
      <w:r w:rsidRPr="00E67FBA">
        <w:rPr>
          <w:rFonts w:asciiTheme="majorHAnsi" w:hAnsiTheme="majorHAnsi" w:cs="DIN Condensed"/>
          <w:b/>
          <w:bCs/>
        </w:rPr>
        <w:t>Responsibilities</w:t>
      </w:r>
      <w:r>
        <w:rPr>
          <w:rFonts w:asciiTheme="majorHAnsi" w:hAnsiTheme="majorHAnsi" w:cs="DIN Condensed"/>
          <w:b/>
          <w:bCs/>
        </w:rPr>
        <w:t xml:space="preserve">: </w:t>
      </w:r>
    </w:p>
    <w:p w:rsidR="009549BC" w:rsidRPr="0005276A" w:rsidRDefault="009549BC" w:rsidP="009549BC">
      <w:pPr>
        <w:spacing w:after="160" w:line="259" w:lineRule="auto"/>
        <w:jc w:val="both"/>
        <w:rPr>
          <w:rFonts w:ascii="Calibri" w:eastAsia="Calibri" w:hAnsi="Calibri"/>
          <w:i/>
          <w:sz w:val="22"/>
          <w:szCs w:val="22"/>
        </w:rPr>
      </w:pPr>
      <w:r w:rsidRPr="0005276A">
        <w:rPr>
          <w:rFonts w:ascii="Calibri" w:eastAsia="Calibri" w:hAnsi="Calibri"/>
          <w:i/>
          <w:sz w:val="22"/>
          <w:szCs w:val="22"/>
        </w:rPr>
        <w:t>Time percentages below may change according to ChildHope’s strategic priorities</w:t>
      </w:r>
    </w:p>
    <w:p w:rsidR="009549BC" w:rsidRPr="004D7A46" w:rsidRDefault="009549BC" w:rsidP="009549BC">
      <w:pPr>
        <w:jc w:val="both"/>
        <w:rPr>
          <w:rFonts w:asciiTheme="majorHAnsi" w:hAnsiTheme="majorHAnsi"/>
          <w:b/>
        </w:rPr>
      </w:pPr>
      <w:r w:rsidRPr="004D7A46">
        <w:rPr>
          <w:rFonts w:asciiTheme="majorHAnsi" w:hAnsiTheme="majorHAnsi"/>
          <w:b/>
        </w:rPr>
        <w:t xml:space="preserve">To lead and oversee development and implementation of more effective literacy and mathematics pedagogy strategies to support marginalised girls in Ethiopia to learn and transition from primary to secondary (40%). </w:t>
      </w:r>
    </w:p>
    <w:p w:rsidR="009549BC" w:rsidRPr="000B43F8" w:rsidRDefault="009549BC" w:rsidP="009549BC">
      <w:pPr>
        <w:rPr>
          <w:rFonts w:asciiTheme="majorHAnsi" w:hAnsiTheme="majorHAnsi"/>
          <w:b/>
        </w:rPr>
      </w:pP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 xml:space="preserve">Supervise activities for developing more effective instructional strategies for literacy and mathematics </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 xml:space="preserve">Develop and manage a coaching and mentoring plan to build capacity of the education team (project) and collaborating government education bureaus in implementing more effective mathematics and literacy pedagogy strategies. </w:t>
      </w:r>
    </w:p>
    <w:p w:rsidR="009549BC" w:rsidRPr="000B43F8" w:rsidRDefault="009549BC" w:rsidP="009549BC">
      <w:pPr>
        <w:pStyle w:val="ListParagraph"/>
        <w:numPr>
          <w:ilvl w:val="0"/>
          <w:numId w:val="42"/>
        </w:numPr>
        <w:shd w:val="clear" w:color="auto" w:fill="FFFFFF"/>
        <w:spacing w:after="0" w:line="240" w:lineRule="auto"/>
        <w:rPr>
          <w:rFonts w:asciiTheme="majorHAnsi" w:hAnsiTheme="majorHAnsi"/>
        </w:rPr>
      </w:pPr>
      <w:r w:rsidRPr="000B43F8">
        <w:rPr>
          <w:rFonts w:asciiTheme="majorHAnsi" w:hAnsiTheme="majorHAnsi"/>
        </w:rPr>
        <w:t xml:space="preserve">Supervise Education Specialists and Short-term Education consultants supporting the project. </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 xml:space="preserve">Develop a framework to assess to improvements in teaching strategies and impact on girls’ learning, progression and transition into higher education cycles. </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 xml:space="preserve">Provide direction to literacy and mathematics teams in supporting teachers to improve teaching and learning of mathematics and literacy: teaching strategies, assessment skills, interpretation, and use of assessment results. </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Provide quality assurance of preparation of materials to support teachers and learners, and identify resources for use by schools, and teachers – including: mathematics and literacy teaching strategies, assessment skills, and interpretation and use of assessment results.</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 xml:space="preserve">Research and provide information and guidance regarding a range of effective and innovative math and literacy practices through various activities such as: individual discussions (informal and formal), coaching sessions, demonstration lessons with pre- and post- discussion/analysis, study groups, staff meetings, and professional development programs. </w:t>
      </w:r>
    </w:p>
    <w:p w:rsidR="009549BC"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 xml:space="preserve">Assists Education Team in Ethiopia in developing strategies for interactive classrooms and assures that recommendations for improvement are implemented. </w:t>
      </w:r>
    </w:p>
    <w:p w:rsidR="009549BC" w:rsidRDefault="009549BC" w:rsidP="009549BC">
      <w:pPr>
        <w:rPr>
          <w:rFonts w:asciiTheme="majorHAnsi" w:hAnsiTheme="majorHAnsi"/>
        </w:rPr>
      </w:pPr>
    </w:p>
    <w:p w:rsidR="009549BC" w:rsidRPr="004D7A46" w:rsidRDefault="009549BC" w:rsidP="009549BC">
      <w:pPr>
        <w:jc w:val="both"/>
        <w:rPr>
          <w:rFonts w:asciiTheme="majorHAnsi" w:hAnsiTheme="majorHAnsi"/>
          <w:b/>
        </w:rPr>
      </w:pPr>
      <w:r w:rsidRPr="004D7A46">
        <w:rPr>
          <w:rFonts w:asciiTheme="majorHAnsi" w:hAnsiTheme="majorHAnsi"/>
          <w:b/>
        </w:rPr>
        <w:t>Manage and coordinate delivery of specific technical assistance from London to partners in Ethiopia especially in the areas of Monitoring, Evaluation and Learning (MEL), Finance, Social Norms and Disability Mainstreaming (35%)</w:t>
      </w:r>
      <w:r>
        <w:rPr>
          <w:rFonts w:asciiTheme="majorHAnsi" w:hAnsiTheme="majorHAnsi"/>
          <w:b/>
        </w:rPr>
        <w:t>.</w:t>
      </w:r>
    </w:p>
    <w:p w:rsidR="009549BC" w:rsidRDefault="009549BC" w:rsidP="009549BC">
      <w:pPr>
        <w:rPr>
          <w:rFonts w:asciiTheme="majorHAnsi" w:hAnsiTheme="majorHAnsi"/>
          <w:b/>
        </w:rPr>
      </w:pPr>
    </w:p>
    <w:p w:rsidR="009549BC" w:rsidRPr="00445D83" w:rsidRDefault="009549BC" w:rsidP="009549BC">
      <w:pPr>
        <w:pStyle w:val="ListParagraph"/>
        <w:numPr>
          <w:ilvl w:val="0"/>
          <w:numId w:val="43"/>
        </w:numPr>
        <w:spacing w:after="68"/>
        <w:jc w:val="both"/>
        <w:rPr>
          <w:rFonts w:asciiTheme="majorHAnsi" w:hAnsiTheme="majorHAnsi"/>
        </w:rPr>
      </w:pPr>
      <w:r w:rsidRPr="00445D83">
        <w:rPr>
          <w:rFonts w:asciiTheme="majorHAnsi" w:hAnsiTheme="majorHAnsi"/>
        </w:rPr>
        <w:t>Coordinate development of a Girls’ Movement aiming to catalyse social change of harmful social norms that impact adversely on girls’ achievement in literacy and numeracy ensuring the active inclusion of disabled girls. Provid</w:t>
      </w:r>
      <w:r>
        <w:rPr>
          <w:rFonts w:asciiTheme="majorHAnsi" w:hAnsiTheme="majorHAnsi"/>
        </w:rPr>
        <w:t xml:space="preserve">ing </w:t>
      </w:r>
      <w:r w:rsidRPr="00445D83">
        <w:rPr>
          <w:rFonts w:asciiTheme="majorHAnsi" w:hAnsiTheme="majorHAnsi"/>
        </w:rPr>
        <w:t xml:space="preserve">direction and implementation of The Girls’ Movements in response to the needs and guidance of </w:t>
      </w:r>
      <w:r>
        <w:rPr>
          <w:rFonts w:asciiTheme="majorHAnsi" w:hAnsiTheme="majorHAnsi"/>
        </w:rPr>
        <w:t xml:space="preserve">Social Norms Consultant and </w:t>
      </w:r>
      <w:r w:rsidRPr="00445D83">
        <w:rPr>
          <w:rFonts w:asciiTheme="majorHAnsi" w:hAnsiTheme="majorHAnsi"/>
        </w:rPr>
        <w:t xml:space="preserve">the Ethiopia project team. </w:t>
      </w:r>
    </w:p>
    <w:p w:rsidR="009549BC" w:rsidRDefault="009549BC" w:rsidP="009549BC">
      <w:pPr>
        <w:pStyle w:val="ListParagraph"/>
        <w:numPr>
          <w:ilvl w:val="0"/>
          <w:numId w:val="42"/>
        </w:numPr>
        <w:spacing w:after="0" w:line="240" w:lineRule="auto"/>
        <w:rPr>
          <w:rFonts w:asciiTheme="majorHAnsi" w:hAnsiTheme="majorHAnsi"/>
        </w:rPr>
      </w:pPr>
      <w:r>
        <w:rPr>
          <w:rFonts w:asciiTheme="majorHAnsi" w:hAnsiTheme="majorHAnsi"/>
        </w:rPr>
        <w:t xml:space="preserve">Provide oversight of ChildHope’s mainstreaming of disability and specifically project manage being provided to over 500 girls with disability in the GEC project. </w:t>
      </w:r>
    </w:p>
    <w:p w:rsidR="009549BC" w:rsidRPr="000B43F8" w:rsidRDefault="009549BC" w:rsidP="009549BC">
      <w:pPr>
        <w:pStyle w:val="ListParagraph"/>
        <w:numPr>
          <w:ilvl w:val="0"/>
          <w:numId w:val="42"/>
        </w:numPr>
        <w:spacing w:after="0" w:line="240" w:lineRule="auto"/>
        <w:rPr>
          <w:rFonts w:asciiTheme="majorHAnsi" w:hAnsiTheme="majorHAnsi"/>
        </w:rPr>
      </w:pPr>
      <w:r>
        <w:rPr>
          <w:rFonts w:asciiTheme="majorHAnsi" w:hAnsiTheme="majorHAnsi"/>
        </w:rPr>
        <w:t>Work with</w:t>
      </w:r>
      <w:r w:rsidRPr="000B43F8">
        <w:rPr>
          <w:rFonts w:asciiTheme="majorHAnsi" w:hAnsiTheme="majorHAnsi"/>
        </w:rPr>
        <w:t xml:space="preserve"> MEL Advisor in developing methods to track quality of teachers’ classroom practices and the teaching ‘process’ through inspection systems</w:t>
      </w:r>
    </w:p>
    <w:p w:rsidR="009549BC" w:rsidRPr="000B43F8" w:rsidRDefault="009549BC" w:rsidP="009549BC">
      <w:pPr>
        <w:pStyle w:val="ListParagraph"/>
        <w:numPr>
          <w:ilvl w:val="0"/>
          <w:numId w:val="42"/>
        </w:numPr>
        <w:spacing w:after="0" w:line="240" w:lineRule="auto"/>
        <w:rPr>
          <w:rFonts w:asciiTheme="majorHAnsi" w:hAnsiTheme="majorHAnsi"/>
        </w:rPr>
      </w:pPr>
      <w:r>
        <w:rPr>
          <w:rFonts w:asciiTheme="majorHAnsi" w:hAnsiTheme="majorHAnsi"/>
        </w:rPr>
        <w:t>Work with</w:t>
      </w:r>
      <w:r w:rsidRPr="000B43F8">
        <w:rPr>
          <w:rFonts w:asciiTheme="majorHAnsi" w:hAnsiTheme="majorHAnsi"/>
        </w:rPr>
        <w:t xml:space="preserve"> the MEL Advisor in establishing mechanisms for track girls’ attendance, academic achievement</w:t>
      </w:r>
    </w:p>
    <w:p w:rsidR="009549BC" w:rsidRPr="000B43F8" w:rsidRDefault="009549BC" w:rsidP="009549BC">
      <w:pPr>
        <w:pStyle w:val="ListParagraph"/>
        <w:numPr>
          <w:ilvl w:val="0"/>
          <w:numId w:val="42"/>
        </w:numPr>
        <w:spacing w:after="0" w:line="240" w:lineRule="auto"/>
        <w:rPr>
          <w:rFonts w:asciiTheme="majorHAnsi" w:hAnsiTheme="majorHAnsi"/>
        </w:rPr>
      </w:pPr>
      <w:r>
        <w:rPr>
          <w:rFonts w:asciiTheme="majorHAnsi" w:hAnsiTheme="majorHAnsi"/>
        </w:rPr>
        <w:t xml:space="preserve">Work with </w:t>
      </w:r>
      <w:r w:rsidRPr="000B43F8">
        <w:rPr>
          <w:rFonts w:asciiTheme="majorHAnsi" w:hAnsiTheme="majorHAnsi"/>
        </w:rPr>
        <w:t xml:space="preserve">the MEL Advisor in establishing mechanisms for tracking shifts in social norms targeted by project. </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lastRenderedPageBreak/>
        <w:t>Build a strong network of contacts in the gender and education for development sector with whom to share ChildHope and CHADET’s programme learning</w:t>
      </w:r>
    </w:p>
    <w:p w:rsidR="009549BC" w:rsidRPr="000B43F8"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Secure regular opportunities to share and promote the learning from the GEC-T programme, including high-level conferences</w:t>
      </w:r>
    </w:p>
    <w:p w:rsidR="009549BC" w:rsidRDefault="009549BC" w:rsidP="009549BC">
      <w:pPr>
        <w:pStyle w:val="ListParagraph"/>
        <w:numPr>
          <w:ilvl w:val="0"/>
          <w:numId w:val="42"/>
        </w:numPr>
        <w:spacing w:after="0" w:line="240" w:lineRule="auto"/>
        <w:rPr>
          <w:rFonts w:asciiTheme="majorHAnsi" w:hAnsiTheme="majorHAnsi"/>
        </w:rPr>
      </w:pPr>
      <w:r w:rsidRPr="000B43F8">
        <w:rPr>
          <w:rFonts w:asciiTheme="majorHAnsi" w:hAnsiTheme="majorHAnsi"/>
        </w:rPr>
        <w:t>Work with ChildHope and CHADET communications colleagues to ensure that the work is shared through different forms of print and social media, ensuring our websites are kept up to date as findings emerge</w:t>
      </w:r>
    </w:p>
    <w:p w:rsidR="009549BC" w:rsidRDefault="009549BC" w:rsidP="009549BC">
      <w:pPr>
        <w:jc w:val="both"/>
        <w:rPr>
          <w:rFonts w:asciiTheme="majorHAnsi" w:hAnsiTheme="majorHAnsi"/>
          <w:b/>
        </w:rPr>
      </w:pPr>
    </w:p>
    <w:p w:rsidR="009549BC" w:rsidRDefault="009549BC" w:rsidP="009549BC">
      <w:pPr>
        <w:jc w:val="both"/>
        <w:rPr>
          <w:rFonts w:asciiTheme="majorHAnsi" w:hAnsiTheme="majorHAnsi"/>
          <w:b/>
        </w:rPr>
      </w:pPr>
      <w:r w:rsidRPr="004D7A46">
        <w:rPr>
          <w:rFonts w:asciiTheme="majorHAnsi" w:hAnsiTheme="majorHAnsi"/>
          <w:b/>
        </w:rPr>
        <w:t>Represent ChildHope in Ethiopia to donor, government, technical and NGOs partners including managing relationships</w:t>
      </w:r>
      <w:r>
        <w:rPr>
          <w:rFonts w:asciiTheme="majorHAnsi" w:hAnsiTheme="majorHAnsi"/>
          <w:b/>
        </w:rPr>
        <w:t xml:space="preserve"> delegated from London</w:t>
      </w:r>
      <w:r w:rsidRPr="004D7A46">
        <w:rPr>
          <w:rFonts w:asciiTheme="majorHAnsi" w:hAnsiTheme="majorHAnsi"/>
          <w:b/>
        </w:rPr>
        <w:t xml:space="preserve"> (25%)</w:t>
      </w:r>
      <w:r>
        <w:rPr>
          <w:rFonts w:asciiTheme="majorHAnsi" w:hAnsiTheme="majorHAnsi"/>
          <w:b/>
        </w:rPr>
        <w:t>.</w:t>
      </w:r>
    </w:p>
    <w:p w:rsidR="009549BC" w:rsidRPr="004D7A46" w:rsidRDefault="009549BC" w:rsidP="009549BC">
      <w:pPr>
        <w:jc w:val="both"/>
        <w:rPr>
          <w:rFonts w:asciiTheme="majorHAnsi" w:hAnsiTheme="majorHAnsi"/>
          <w:b/>
        </w:rPr>
      </w:pPr>
    </w:p>
    <w:p w:rsidR="009549BC" w:rsidRPr="00055793" w:rsidRDefault="009549BC" w:rsidP="009549BC">
      <w:pPr>
        <w:pStyle w:val="ListParagraph"/>
        <w:numPr>
          <w:ilvl w:val="0"/>
          <w:numId w:val="44"/>
        </w:numPr>
        <w:spacing w:after="0" w:line="240" w:lineRule="auto"/>
        <w:rPr>
          <w:rFonts w:asciiTheme="majorHAnsi" w:hAnsiTheme="majorHAnsi"/>
        </w:rPr>
      </w:pPr>
      <w:r w:rsidRPr="00055793">
        <w:rPr>
          <w:rFonts w:asciiTheme="majorHAnsi" w:hAnsiTheme="majorHAnsi"/>
        </w:rPr>
        <w:t>Support GEC Ethiopia Project Management Unit in delivering agreed workplans</w:t>
      </w:r>
    </w:p>
    <w:p w:rsidR="009549BC" w:rsidRPr="00055793" w:rsidRDefault="009549BC" w:rsidP="009549BC">
      <w:pPr>
        <w:pStyle w:val="ListParagraph"/>
        <w:numPr>
          <w:ilvl w:val="0"/>
          <w:numId w:val="44"/>
        </w:numPr>
        <w:spacing w:after="0" w:line="240" w:lineRule="auto"/>
        <w:rPr>
          <w:rFonts w:asciiTheme="majorHAnsi" w:hAnsiTheme="majorHAnsi"/>
        </w:rPr>
      </w:pPr>
      <w:r w:rsidRPr="00055793">
        <w:rPr>
          <w:rFonts w:asciiTheme="majorHAnsi" w:hAnsiTheme="majorHAnsi"/>
        </w:rPr>
        <w:t>Represent ChildHope to donors and partners in Ethiopia</w:t>
      </w:r>
    </w:p>
    <w:p w:rsidR="009549BC" w:rsidRPr="00022E8A" w:rsidRDefault="009549BC" w:rsidP="00656331">
      <w:pPr>
        <w:pStyle w:val="ListParagraph"/>
        <w:spacing w:after="160" w:line="259" w:lineRule="auto"/>
        <w:ind w:left="284"/>
        <w:rPr>
          <w:rFonts w:eastAsia="Calibri"/>
          <w:b/>
        </w:rPr>
      </w:pPr>
    </w:p>
    <w:tbl>
      <w:tblPr>
        <w:tblpPr w:leftFromText="180" w:rightFromText="180" w:tblpY="-495"/>
        <w:tblW w:w="9906" w:type="dxa"/>
        <w:tblCellMar>
          <w:left w:w="120" w:type="dxa"/>
          <w:right w:w="120" w:type="dxa"/>
        </w:tblCellMar>
        <w:tblLook w:val="0000" w:firstRow="0" w:lastRow="0" w:firstColumn="0" w:lastColumn="0" w:noHBand="0" w:noVBand="0"/>
      </w:tblPr>
      <w:tblGrid>
        <w:gridCol w:w="5206"/>
        <w:gridCol w:w="4700"/>
      </w:tblGrid>
      <w:tr w:rsidR="00FF1C64" w:rsidRPr="00D53368" w:rsidTr="00AD31A0">
        <w:trPr>
          <w:trHeight w:val="802"/>
        </w:trPr>
        <w:tc>
          <w:tcPr>
            <w:tcW w:w="0" w:type="auto"/>
            <w:gridSpan w:val="2"/>
            <w:tcBorders>
              <w:top w:val="single" w:sz="6" w:space="0" w:color="000000"/>
              <w:left w:val="single" w:sz="6" w:space="0" w:color="000000"/>
              <w:bottom w:val="single" w:sz="6" w:space="0" w:color="000000"/>
              <w:right w:val="single" w:sz="6" w:space="0" w:color="000000"/>
            </w:tcBorders>
            <w:shd w:val="clear" w:color="auto" w:fill="8DB3E2"/>
          </w:tcPr>
          <w:p w:rsidR="00FF1C64" w:rsidRPr="00D53368" w:rsidRDefault="004725C4" w:rsidP="00AD31A0">
            <w:pPr>
              <w:spacing w:line="120" w:lineRule="exact"/>
              <w:rPr>
                <w:rFonts w:ascii="Calibri" w:hAnsi="Calibri"/>
                <w:sz w:val="22"/>
                <w:szCs w:val="22"/>
              </w:rPr>
            </w:pPr>
            <w:r>
              <w:rPr>
                <w:rFonts w:ascii="Calibri" w:hAnsi="Calibri" w:cs="Microsoft Sans Serif"/>
                <w:sz w:val="22"/>
                <w:szCs w:val="22"/>
              </w:rPr>
              <w:lastRenderedPageBreak/>
              <w:br w:type="page"/>
            </w:r>
            <w:r w:rsidR="006E698A" w:rsidRPr="00D53368">
              <w:rPr>
                <w:rFonts w:ascii="Calibri" w:hAnsi="Calibri" w:cs="Microsoft Sans Serif"/>
                <w:sz w:val="22"/>
                <w:szCs w:val="22"/>
              </w:rPr>
              <w:br w:type="page"/>
            </w:r>
          </w:p>
          <w:p w:rsidR="00FF1C64" w:rsidRPr="00D53368" w:rsidRDefault="00FF1C64" w:rsidP="009549BC">
            <w:pPr>
              <w:shd w:val="clear" w:color="auto" w:fill="5B9BD5"/>
              <w:spacing w:after="58"/>
              <w:jc w:val="center"/>
              <w:rPr>
                <w:rFonts w:ascii="Calibri" w:hAnsi="Calibri"/>
                <w:b/>
                <w:sz w:val="22"/>
                <w:szCs w:val="22"/>
              </w:rPr>
            </w:pPr>
            <w:r w:rsidRPr="00D53368">
              <w:rPr>
                <w:rFonts w:ascii="Calibri" w:hAnsi="Calibri"/>
                <w:b/>
                <w:sz w:val="22"/>
                <w:szCs w:val="22"/>
              </w:rPr>
              <w:t>PERSON SPECIFICATION</w:t>
            </w:r>
          </w:p>
          <w:p w:rsidR="00FF1C64" w:rsidRPr="00D53368" w:rsidRDefault="00FF1C64" w:rsidP="009549BC">
            <w:pPr>
              <w:shd w:val="clear" w:color="auto" w:fill="5B9BD5"/>
              <w:spacing w:after="58"/>
              <w:jc w:val="both"/>
              <w:rPr>
                <w:rFonts w:ascii="Calibri" w:hAnsi="Calibri"/>
                <w:sz w:val="22"/>
                <w:szCs w:val="22"/>
              </w:rPr>
            </w:pPr>
            <w:r w:rsidRPr="00D53368">
              <w:rPr>
                <w:rFonts w:ascii="Calibri" w:hAnsi="Calibri"/>
                <w:sz w:val="22"/>
                <w:szCs w:val="22"/>
              </w:rPr>
              <w:t>Description of the knowledge, experience and skills/abilities requir</w:t>
            </w:r>
            <w:r w:rsidR="005B1278" w:rsidRPr="00D53368">
              <w:rPr>
                <w:rFonts w:ascii="Calibri" w:hAnsi="Calibri"/>
                <w:sz w:val="22"/>
                <w:szCs w:val="22"/>
              </w:rPr>
              <w:t xml:space="preserve">ed to be effective in the job. </w:t>
            </w:r>
            <w:r w:rsidRPr="00D53368">
              <w:rPr>
                <w:rFonts w:ascii="Calibri" w:hAnsi="Calibri"/>
                <w:sz w:val="22"/>
                <w:szCs w:val="22"/>
              </w:rPr>
              <w:t xml:space="preserve">Linked to recruitment requirements.  </w:t>
            </w:r>
          </w:p>
        </w:tc>
      </w:tr>
      <w:tr w:rsidR="00F51376" w:rsidRPr="00D53368" w:rsidTr="009549BC">
        <w:trPr>
          <w:trHeight w:val="497"/>
        </w:trPr>
        <w:tc>
          <w:tcPr>
            <w:tcW w:w="5201" w:type="dxa"/>
            <w:tcBorders>
              <w:top w:val="single" w:sz="6" w:space="0" w:color="000000"/>
              <w:left w:val="single" w:sz="6" w:space="0" w:color="000000"/>
              <w:bottom w:val="single" w:sz="6" w:space="0" w:color="000000"/>
              <w:right w:val="single" w:sz="4" w:space="0" w:color="auto"/>
            </w:tcBorders>
          </w:tcPr>
          <w:p w:rsidR="007B74CA" w:rsidRPr="00D53368" w:rsidRDefault="007B74CA" w:rsidP="00AD31A0">
            <w:pPr>
              <w:spacing w:line="120" w:lineRule="exact"/>
              <w:jc w:val="center"/>
              <w:rPr>
                <w:rFonts w:ascii="Calibri" w:hAnsi="Calibri"/>
                <w:b/>
                <w:sz w:val="22"/>
                <w:szCs w:val="22"/>
              </w:rPr>
            </w:pPr>
          </w:p>
          <w:p w:rsidR="007B74CA" w:rsidRPr="00D53368" w:rsidRDefault="007B74CA" w:rsidP="00AD31A0">
            <w:pPr>
              <w:spacing w:after="58"/>
              <w:rPr>
                <w:rFonts w:ascii="Calibri" w:hAnsi="Calibri"/>
                <w:b/>
                <w:sz w:val="22"/>
                <w:szCs w:val="22"/>
              </w:rPr>
            </w:pPr>
            <w:r w:rsidRPr="00D53368">
              <w:rPr>
                <w:rFonts w:ascii="Calibri" w:hAnsi="Calibri"/>
                <w:b/>
                <w:sz w:val="22"/>
                <w:szCs w:val="22"/>
              </w:rPr>
              <w:t>Essential</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7B74CA" w:rsidRPr="00D53368" w:rsidRDefault="007B74CA" w:rsidP="00AD31A0">
            <w:pPr>
              <w:spacing w:line="120" w:lineRule="exact"/>
              <w:jc w:val="center"/>
              <w:rPr>
                <w:rFonts w:ascii="Calibri" w:hAnsi="Calibri"/>
                <w:b/>
                <w:sz w:val="22"/>
                <w:szCs w:val="22"/>
              </w:rPr>
            </w:pPr>
          </w:p>
          <w:p w:rsidR="007B74CA" w:rsidRPr="00D53368" w:rsidRDefault="007B74CA" w:rsidP="00AD31A0">
            <w:pPr>
              <w:spacing w:after="58"/>
              <w:rPr>
                <w:rFonts w:ascii="Calibri" w:hAnsi="Calibri"/>
                <w:b/>
                <w:sz w:val="22"/>
                <w:szCs w:val="22"/>
              </w:rPr>
            </w:pPr>
            <w:r w:rsidRPr="00D53368">
              <w:rPr>
                <w:rFonts w:ascii="Calibri" w:hAnsi="Calibri"/>
                <w:b/>
                <w:sz w:val="22"/>
                <w:szCs w:val="22"/>
              </w:rPr>
              <w:t>Desirable</w:t>
            </w:r>
          </w:p>
        </w:tc>
      </w:tr>
      <w:tr w:rsidR="007B74CA" w:rsidRPr="00D53368" w:rsidTr="009549BC">
        <w:tc>
          <w:tcPr>
            <w:tcW w:w="9906" w:type="dxa"/>
            <w:gridSpan w:val="2"/>
            <w:tcBorders>
              <w:top w:val="single" w:sz="6" w:space="0" w:color="000000"/>
              <w:left w:val="single" w:sz="6" w:space="0" w:color="000000"/>
              <w:bottom w:val="single" w:sz="6" w:space="0" w:color="000000"/>
              <w:right w:val="single" w:sz="4" w:space="0" w:color="auto"/>
            </w:tcBorders>
            <w:shd w:val="clear" w:color="auto" w:fill="5B9BD5"/>
          </w:tcPr>
          <w:p w:rsidR="007B74CA" w:rsidRPr="00D53368" w:rsidRDefault="007B74CA" w:rsidP="00AD31A0">
            <w:pPr>
              <w:spacing w:after="58"/>
              <w:rPr>
                <w:rFonts w:ascii="Calibri" w:hAnsi="Calibri"/>
                <w:sz w:val="22"/>
                <w:szCs w:val="22"/>
              </w:rPr>
            </w:pPr>
            <w:r w:rsidRPr="00D53368">
              <w:rPr>
                <w:rFonts w:ascii="Calibri" w:hAnsi="Calibri"/>
                <w:sz w:val="22"/>
                <w:szCs w:val="22"/>
              </w:rPr>
              <w:t xml:space="preserve">Knowledge:  </w:t>
            </w:r>
            <w:r w:rsidRPr="00D53368">
              <w:rPr>
                <w:rFonts w:ascii="Calibri" w:hAnsi="Calibri"/>
                <w:i/>
                <w:sz w:val="22"/>
                <w:szCs w:val="22"/>
              </w:rPr>
              <w:t>Specific knowledge, may be acquired through education, qualifications or life/work learning</w:t>
            </w:r>
          </w:p>
        </w:tc>
      </w:tr>
      <w:tr w:rsidR="00F51376" w:rsidRPr="00D53368" w:rsidTr="009549BC">
        <w:tc>
          <w:tcPr>
            <w:tcW w:w="5201" w:type="dxa"/>
            <w:tcBorders>
              <w:top w:val="single" w:sz="6" w:space="0" w:color="000000"/>
              <w:left w:val="single" w:sz="6" w:space="0" w:color="000000"/>
              <w:bottom w:val="single" w:sz="6" w:space="0" w:color="000000"/>
              <w:right w:val="single" w:sz="4" w:space="0" w:color="auto"/>
            </w:tcBorders>
          </w:tcPr>
          <w:p w:rsidR="009549BC" w:rsidRPr="00D95474" w:rsidRDefault="009549BC" w:rsidP="00D95474">
            <w:pPr>
              <w:pStyle w:val="ListParagraph"/>
              <w:numPr>
                <w:ilvl w:val="0"/>
                <w:numId w:val="45"/>
              </w:numPr>
              <w:spacing w:after="58"/>
              <w:rPr>
                <w:rFonts w:asciiTheme="minorHAnsi" w:hAnsiTheme="minorHAnsi"/>
                <w:i/>
              </w:rPr>
            </w:pPr>
            <w:r w:rsidRPr="00D95474">
              <w:rPr>
                <w:rFonts w:asciiTheme="minorHAnsi" w:hAnsiTheme="minorHAnsi"/>
              </w:rPr>
              <w:t>Masters in pedagogical sciences, teacher education, teaching and learning, learning, pedagogy and assessment, mathematics education or Language pedagogy.</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7B74CA" w:rsidRPr="009549BC" w:rsidRDefault="007B74CA" w:rsidP="00D40EC2">
            <w:pPr>
              <w:spacing w:after="58"/>
              <w:rPr>
                <w:rFonts w:asciiTheme="minorHAnsi" w:hAnsiTheme="minorHAnsi"/>
                <w:sz w:val="22"/>
                <w:szCs w:val="22"/>
              </w:rPr>
            </w:pPr>
          </w:p>
        </w:tc>
      </w:tr>
      <w:tr w:rsidR="00F51376" w:rsidRPr="00D53368" w:rsidTr="009549BC">
        <w:tc>
          <w:tcPr>
            <w:tcW w:w="9906" w:type="dxa"/>
            <w:gridSpan w:val="2"/>
            <w:tcBorders>
              <w:top w:val="single" w:sz="6" w:space="0" w:color="000000"/>
              <w:left w:val="single" w:sz="6" w:space="0" w:color="000000"/>
              <w:bottom w:val="single" w:sz="6" w:space="0" w:color="000000"/>
              <w:right w:val="single" w:sz="4" w:space="0" w:color="auto"/>
            </w:tcBorders>
            <w:shd w:val="clear" w:color="auto" w:fill="5B9BD5"/>
          </w:tcPr>
          <w:p w:rsidR="00F51376" w:rsidRPr="009549BC" w:rsidRDefault="00F51376" w:rsidP="00AD31A0">
            <w:pPr>
              <w:spacing w:after="58"/>
              <w:rPr>
                <w:rFonts w:asciiTheme="minorHAnsi" w:hAnsiTheme="minorHAnsi"/>
                <w:sz w:val="22"/>
                <w:szCs w:val="22"/>
              </w:rPr>
            </w:pPr>
            <w:r w:rsidRPr="009549BC">
              <w:rPr>
                <w:rFonts w:asciiTheme="minorHAnsi" w:hAnsiTheme="minorHAnsi"/>
                <w:sz w:val="22"/>
                <w:szCs w:val="22"/>
              </w:rPr>
              <w:t xml:space="preserve">Experience:  </w:t>
            </w:r>
            <w:r w:rsidRPr="009549BC">
              <w:rPr>
                <w:rFonts w:asciiTheme="minorHAnsi" w:hAnsiTheme="minorHAnsi"/>
                <w:i/>
                <w:sz w:val="22"/>
                <w:szCs w:val="22"/>
              </w:rPr>
              <w:t>Previous relevant experience, work or life</w:t>
            </w:r>
          </w:p>
        </w:tc>
      </w:tr>
      <w:tr w:rsidR="00485650" w:rsidRPr="00D53368" w:rsidTr="009549BC">
        <w:tc>
          <w:tcPr>
            <w:tcW w:w="5201" w:type="dxa"/>
            <w:tcBorders>
              <w:top w:val="single" w:sz="6" w:space="0" w:color="000000"/>
              <w:left w:val="single" w:sz="6" w:space="0" w:color="000000"/>
              <w:bottom w:val="single" w:sz="6" w:space="0" w:color="000000"/>
              <w:right w:val="single" w:sz="4" w:space="0" w:color="auto"/>
            </w:tcBorders>
          </w:tcPr>
          <w:p w:rsidR="00485650" w:rsidRPr="00D95474" w:rsidRDefault="009549BC" w:rsidP="00D95474">
            <w:pPr>
              <w:pStyle w:val="ListParagraph"/>
              <w:numPr>
                <w:ilvl w:val="0"/>
                <w:numId w:val="45"/>
              </w:numPr>
              <w:spacing w:after="160" w:line="259" w:lineRule="auto"/>
              <w:rPr>
                <w:rFonts w:asciiTheme="minorHAnsi" w:hAnsiTheme="minorHAnsi"/>
              </w:rPr>
            </w:pPr>
            <w:r w:rsidRPr="00D95474">
              <w:rPr>
                <w:rFonts w:asciiTheme="minorHAnsi" w:hAnsiTheme="minorHAnsi"/>
              </w:rPr>
              <w:t>At least eight years’ experience supporting teachers in implementing more effective pedagogies.</w:t>
            </w:r>
          </w:p>
          <w:p w:rsidR="009549BC" w:rsidRPr="00D95474" w:rsidRDefault="009549BC" w:rsidP="00D95474">
            <w:pPr>
              <w:pStyle w:val="ListParagraph"/>
              <w:numPr>
                <w:ilvl w:val="0"/>
                <w:numId w:val="45"/>
              </w:numPr>
              <w:spacing w:after="160" w:line="259" w:lineRule="auto"/>
              <w:rPr>
                <w:rFonts w:asciiTheme="minorHAnsi" w:hAnsiTheme="minorHAnsi"/>
              </w:rPr>
            </w:pPr>
            <w:r w:rsidRPr="00D95474">
              <w:rPr>
                <w:rFonts w:asciiTheme="minorHAnsi" w:hAnsiTheme="minorHAnsi"/>
              </w:rPr>
              <w:t>International experience (at least 5 years) in a senior level of responsibility related to girls’ social development and working with multilateral, bilateral or non-governmental development organisations.</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485650" w:rsidRPr="009549BC" w:rsidRDefault="00485650" w:rsidP="00485650">
            <w:pPr>
              <w:pStyle w:val="ListParagraph"/>
              <w:spacing w:after="0" w:line="240" w:lineRule="auto"/>
              <w:ind w:left="318"/>
              <w:rPr>
                <w:rFonts w:asciiTheme="minorHAnsi" w:hAnsiTheme="minorHAnsi"/>
              </w:rPr>
            </w:pPr>
          </w:p>
        </w:tc>
      </w:tr>
      <w:tr w:rsidR="00F51376" w:rsidRPr="00D53368" w:rsidTr="009549BC">
        <w:tc>
          <w:tcPr>
            <w:tcW w:w="9906" w:type="dxa"/>
            <w:gridSpan w:val="2"/>
            <w:tcBorders>
              <w:top w:val="single" w:sz="6" w:space="0" w:color="000000"/>
              <w:left w:val="single" w:sz="6" w:space="0" w:color="000000"/>
              <w:bottom w:val="single" w:sz="6" w:space="0" w:color="000000"/>
              <w:right w:val="single" w:sz="4" w:space="0" w:color="auto"/>
            </w:tcBorders>
            <w:shd w:val="clear" w:color="auto" w:fill="5B9BD5"/>
          </w:tcPr>
          <w:p w:rsidR="00F51376" w:rsidRPr="009549BC" w:rsidRDefault="00F51376" w:rsidP="00AD31A0">
            <w:pPr>
              <w:spacing w:after="58"/>
              <w:rPr>
                <w:rFonts w:asciiTheme="minorHAnsi" w:hAnsiTheme="minorHAnsi"/>
                <w:sz w:val="22"/>
                <w:szCs w:val="22"/>
              </w:rPr>
            </w:pPr>
            <w:r w:rsidRPr="009549BC">
              <w:rPr>
                <w:rFonts w:asciiTheme="minorHAnsi" w:hAnsiTheme="minorHAnsi"/>
                <w:sz w:val="22"/>
                <w:szCs w:val="22"/>
              </w:rPr>
              <w:t xml:space="preserve">Skills/Abilities:  </w:t>
            </w:r>
            <w:r w:rsidRPr="009549BC">
              <w:rPr>
                <w:rFonts w:asciiTheme="minorHAnsi" w:hAnsiTheme="minorHAnsi"/>
                <w:i/>
                <w:sz w:val="22"/>
                <w:szCs w:val="22"/>
              </w:rPr>
              <w:t>Transferable skills and abilities required by the job</w:t>
            </w:r>
          </w:p>
        </w:tc>
      </w:tr>
      <w:tr w:rsidR="009549BC" w:rsidRPr="00D53368" w:rsidTr="009549BC">
        <w:tc>
          <w:tcPr>
            <w:tcW w:w="5201" w:type="dxa"/>
            <w:tcBorders>
              <w:top w:val="single" w:sz="6" w:space="0" w:color="000000"/>
              <w:left w:val="single" w:sz="6" w:space="0" w:color="000000"/>
              <w:bottom w:val="single" w:sz="6" w:space="0" w:color="000000"/>
              <w:right w:val="single" w:sz="4" w:space="0" w:color="auto"/>
            </w:tcBorders>
          </w:tcPr>
          <w:p w:rsidR="009549BC" w:rsidRPr="009549BC" w:rsidRDefault="009549BC" w:rsidP="009549BC">
            <w:pPr>
              <w:pStyle w:val="ListParagraph"/>
              <w:numPr>
                <w:ilvl w:val="0"/>
                <w:numId w:val="44"/>
              </w:numPr>
              <w:spacing w:after="0" w:line="240" w:lineRule="auto"/>
              <w:rPr>
                <w:rFonts w:asciiTheme="minorHAnsi" w:hAnsiTheme="minorHAnsi"/>
              </w:rPr>
            </w:pPr>
            <w:r w:rsidRPr="009549BC">
              <w:rPr>
                <w:rFonts w:asciiTheme="minorHAnsi" w:hAnsiTheme="minorHAnsi"/>
              </w:rPr>
              <w:t>Excellent written and oral communication skills.</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549BC" w:rsidRPr="009549BC" w:rsidRDefault="009549BC" w:rsidP="009549BC">
            <w:pPr>
              <w:spacing w:after="58"/>
              <w:rPr>
                <w:rFonts w:asciiTheme="minorHAnsi" w:hAnsiTheme="minorHAnsi"/>
                <w:sz w:val="22"/>
                <w:szCs w:val="22"/>
              </w:rPr>
            </w:pPr>
          </w:p>
        </w:tc>
      </w:tr>
      <w:tr w:rsidR="009549BC" w:rsidRPr="00D53368" w:rsidTr="009549BC">
        <w:tc>
          <w:tcPr>
            <w:tcW w:w="5201" w:type="dxa"/>
            <w:tcBorders>
              <w:top w:val="single" w:sz="6" w:space="0" w:color="000000"/>
              <w:left w:val="single" w:sz="6" w:space="0" w:color="000000"/>
              <w:bottom w:val="single" w:sz="6" w:space="0" w:color="000000"/>
              <w:right w:val="single" w:sz="4" w:space="0" w:color="auto"/>
            </w:tcBorders>
          </w:tcPr>
          <w:p w:rsidR="009549BC" w:rsidRPr="009549BC" w:rsidRDefault="009549BC" w:rsidP="009549BC">
            <w:pPr>
              <w:pStyle w:val="ListParagraph"/>
              <w:numPr>
                <w:ilvl w:val="0"/>
                <w:numId w:val="44"/>
              </w:numPr>
              <w:spacing w:after="0" w:line="240" w:lineRule="auto"/>
              <w:rPr>
                <w:rFonts w:asciiTheme="minorHAnsi" w:hAnsiTheme="minorHAnsi"/>
              </w:rPr>
            </w:pPr>
            <w:r w:rsidRPr="009549BC">
              <w:rPr>
                <w:rFonts w:asciiTheme="minorHAnsi" w:hAnsiTheme="minorHAnsi"/>
              </w:rPr>
              <w:t xml:space="preserve">Strong relationships management and networking experience.  </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549BC" w:rsidRPr="009549BC" w:rsidRDefault="009549BC" w:rsidP="009549BC">
            <w:pPr>
              <w:spacing w:after="58"/>
              <w:rPr>
                <w:rFonts w:asciiTheme="minorHAnsi" w:hAnsiTheme="minorHAnsi"/>
                <w:sz w:val="22"/>
                <w:szCs w:val="22"/>
              </w:rPr>
            </w:pPr>
          </w:p>
        </w:tc>
      </w:tr>
      <w:tr w:rsidR="009549BC" w:rsidRPr="00D53368" w:rsidTr="009549BC">
        <w:tc>
          <w:tcPr>
            <w:tcW w:w="5201" w:type="dxa"/>
            <w:tcBorders>
              <w:top w:val="single" w:sz="6" w:space="0" w:color="000000"/>
              <w:left w:val="single" w:sz="6" w:space="0" w:color="000000"/>
              <w:bottom w:val="single" w:sz="6" w:space="0" w:color="000000"/>
              <w:right w:val="single" w:sz="4" w:space="0" w:color="auto"/>
            </w:tcBorders>
          </w:tcPr>
          <w:p w:rsidR="009549BC" w:rsidRPr="009549BC" w:rsidRDefault="009549BC" w:rsidP="009549BC">
            <w:pPr>
              <w:pStyle w:val="ListParagraph"/>
              <w:numPr>
                <w:ilvl w:val="0"/>
                <w:numId w:val="44"/>
              </w:numPr>
              <w:spacing w:after="0" w:line="240" w:lineRule="auto"/>
              <w:rPr>
                <w:rFonts w:asciiTheme="minorHAnsi" w:hAnsiTheme="minorHAnsi"/>
              </w:rPr>
            </w:pPr>
            <w:r w:rsidRPr="009549BC">
              <w:rPr>
                <w:rFonts w:asciiTheme="minorHAnsi" w:hAnsiTheme="minorHAnsi"/>
              </w:rPr>
              <w:t xml:space="preserve">Knowledge or willingness to undertake training on social norms theory. </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549BC" w:rsidRPr="009549BC" w:rsidRDefault="009549BC" w:rsidP="009549BC">
            <w:pPr>
              <w:spacing w:after="58"/>
              <w:rPr>
                <w:rFonts w:asciiTheme="minorHAnsi" w:hAnsiTheme="minorHAnsi"/>
                <w:sz w:val="22"/>
                <w:szCs w:val="22"/>
              </w:rPr>
            </w:pPr>
          </w:p>
        </w:tc>
      </w:tr>
      <w:tr w:rsidR="009549BC" w:rsidRPr="00D53368" w:rsidTr="009549BC">
        <w:tc>
          <w:tcPr>
            <w:tcW w:w="5201" w:type="dxa"/>
            <w:tcBorders>
              <w:top w:val="single" w:sz="6" w:space="0" w:color="000000"/>
              <w:left w:val="single" w:sz="6" w:space="0" w:color="000000"/>
              <w:bottom w:val="single" w:sz="6" w:space="0" w:color="000000"/>
              <w:right w:val="single" w:sz="4" w:space="0" w:color="auto"/>
            </w:tcBorders>
          </w:tcPr>
          <w:p w:rsidR="009549BC" w:rsidRPr="009549BC" w:rsidRDefault="009549BC" w:rsidP="009549BC">
            <w:pPr>
              <w:pStyle w:val="ListParagraph"/>
              <w:numPr>
                <w:ilvl w:val="0"/>
                <w:numId w:val="44"/>
              </w:numPr>
              <w:spacing w:after="0" w:line="240" w:lineRule="auto"/>
              <w:rPr>
                <w:rFonts w:asciiTheme="minorHAnsi" w:hAnsiTheme="minorHAnsi"/>
              </w:rPr>
            </w:pPr>
            <w:r w:rsidRPr="009549BC">
              <w:rPr>
                <w:rFonts w:asciiTheme="minorHAnsi" w:hAnsiTheme="minorHAnsi"/>
              </w:rPr>
              <w:t>Quick to learn and adapt to new environments and work cultures</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549BC" w:rsidRPr="009549BC" w:rsidRDefault="009549BC" w:rsidP="009549BC">
            <w:pPr>
              <w:spacing w:after="58"/>
              <w:rPr>
                <w:rFonts w:asciiTheme="minorHAnsi" w:hAnsiTheme="minorHAnsi"/>
                <w:sz w:val="22"/>
                <w:szCs w:val="22"/>
              </w:rPr>
            </w:pPr>
          </w:p>
        </w:tc>
      </w:tr>
      <w:tr w:rsidR="00F51376" w:rsidRPr="00D53368" w:rsidTr="009549BC">
        <w:tc>
          <w:tcPr>
            <w:tcW w:w="9906" w:type="dxa"/>
            <w:gridSpan w:val="2"/>
            <w:tcBorders>
              <w:top w:val="single" w:sz="6" w:space="0" w:color="000000"/>
              <w:left w:val="single" w:sz="6" w:space="0" w:color="000000"/>
              <w:bottom w:val="single" w:sz="6" w:space="0" w:color="000000"/>
              <w:right w:val="single" w:sz="4" w:space="0" w:color="auto"/>
            </w:tcBorders>
            <w:shd w:val="clear" w:color="auto" w:fill="5B9BD5"/>
          </w:tcPr>
          <w:p w:rsidR="00F51376" w:rsidRPr="009549BC" w:rsidRDefault="00F51376" w:rsidP="00AD31A0">
            <w:pPr>
              <w:spacing w:after="58"/>
              <w:rPr>
                <w:rFonts w:asciiTheme="minorHAnsi" w:hAnsiTheme="minorHAnsi"/>
                <w:sz w:val="22"/>
                <w:szCs w:val="22"/>
              </w:rPr>
            </w:pPr>
            <w:r w:rsidRPr="009549BC">
              <w:rPr>
                <w:rFonts w:asciiTheme="minorHAnsi" w:hAnsiTheme="minorHAnsi"/>
                <w:sz w:val="22"/>
                <w:szCs w:val="22"/>
              </w:rPr>
              <w:t xml:space="preserve">ChildHope’s aims and objectives:  </w:t>
            </w:r>
            <w:r w:rsidRPr="009549BC">
              <w:rPr>
                <w:rFonts w:asciiTheme="minorHAnsi" w:hAnsiTheme="minorHAnsi" w:cs="Microsoft Sans Serif"/>
                <w:i/>
                <w:sz w:val="22"/>
                <w:szCs w:val="22"/>
              </w:rPr>
              <w:t>Understanding of, and commitment to, the aims and objectives of ChildHope</w:t>
            </w:r>
          </w:p>
        </w:tc>
      </w:tr>
      <w:tr w:rsidR="00F51376" w:rsidRPr="00495C24" w:rsidTr="009549BC">
        <w:tc>
          <w:tcPr>
            <w:tcW w:w="5201" w:type="dxa"/>
            <w:tcBorders>
              <w:top w:val="single" w:sz="6" w:space="0" w:color="000000"/>
              <w:left w:val="single" w:sz="6" w:space="0" w:color="000000"/>
              <w:bottom w:val="single" w:sz="6" w:space="0" w:color="000000"/>
              <w:right w:val="single" w:sz="4" w:space="0" w:color="auto"/>
            </w:tcBorders>
          </w:tcPr>
          <w:p w:rsidR="00F51376" w:rsidRPr="00D95474" w:rsidRDefault="00F51376" w:rsidP="00D95474">
            <w:pPr>
              <w:pStyle w:val="ListParagraph"/>
              <w:numPr>
                <w:ilvl w:val="0"/>
                <w:numId w:val="46"/>
              </w:numPr>
              <w:spacing w:after="58"/>
              <w:rPr>
                <w:rFonts w:asciiTheme="minorHAnsi" w:hAnsiTheme="minorHAnsi"/>
              </w:rPr>
            </w:pPr>
            <w:r w:rsidRPr="00D95474">
              <w:rPr>
                <w:rFonts w:asciiTheme="minorHAnsi" w:hAnsiTheme="minorHAnsi" w:cs="Microsoft Sans Serif"/>
              </w:rPr>
              <w:t>Commitment to international development, children’s rights and gender equality</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F51376" w:rsidRPr="00D95474" w:rsidRDefault="00495C24" w:rsidP="00D95474">
            <w:pPr>
              <w:pStyle w:val="ListParagraph"/>
              <w:numPr>
                <w:ilvl w:val="0"/>
                <w:numId w:val="46"/>
              </w:numPr>
              <w:spacing w:after="58"/>
              <w:rPr>
                <w:rFonts w:asciiTheme="minorHAnsi" w:hAnsiTheme="minorHAnsi"/>
              </w:rPr>
            </w:pPr>
            <w:r w:rsidRPr="00D95474">
              <w:rPr>
                <w:rFonts w:asciiTheme="minorHAnsi" w:hAnsiTheme="minorHAnsi" w:cs="Microsoft Sans Serif"/>
              </w:rPr>
              <w:t>Understanding of and commitment to Equal Opportunities</w:t>
            </w:r>
          </w:p>
        </w:tc>
      </w:tr>
      <w:tr w:rsidR="00F51376" w:rsidRPr="00495C24" w:rsidTr="009549BC">
        <w:tc>
          <w:tcPr>
            <w:tcW w:w="5201" w:type="dxa"/>
            <w:tcBorders>
              <w:top w:val="single" w:sz="6" w:space="0" w:color="000000"/>
              <w:left w:val="single" w:sz="6" w:space="0" w:color="000000"/>
              <w:bottom w:val="single" w:sz="6" w:space="0" w:color="000000"/>
              <w:right w:val="single" w:sz="4" w:space="0" w:color="auto"/>
            </w:tcBorders>
          </w:tcPr>
          <w:p w:rsidR="00F51376" w:rsidRPr="00D95474" w:rsidRDefault="00495C24" w:rsidP="00D95474">
            <w:pPr>
              <w:pStyle w:val="ListParagraph"/>
              <w:numPr>
                <w:ilvl w:val="0"/>
                <w:numId w:val="46"/>
              </w:numPr>
              <w:spacing w:after="58"/>
              <w:rPr>
                <w:rFonts w:asciiTheme="minorHAnsi" w:hAnsiTheme="minorHAnsi"/>
              </w:rPr>
            </w:pPr>
            <w:r w:rsidRPr="00D95474">
              <w:rPr>
                <w:rFonts w:asciiTheme="minorHAnsi" w:hAnsiTheme="minorHAnsi" w:cs="Microsoft Sans Serif"/>
              </w:rPr>
              <w:t>Commitment to and compliance with ChildHope’s Childsafeguarding Policy</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F51376" w:rsidRPr="009549BC" w:rsidRDefault="00F51376" w:rsidP="00AD31A0">
            <w:pPr>
              <w:spacing w:after="58"/>
              <w:rPr>
                <w:rFonts w:asciiTheme="minorHAnsi" w:hAnsiTheme="minorHAnsi"/>
                <w:sz w:val="22"/>
                <w:szCs w:val="22"/>
              </w:rPr>
            </w:pPr>
          </w:p>
        </w:tc>
      </w:tr>
      <w:tr w:rsidR="00F51376" w:rsidRPr="00495C24" w:rsidTr="009549BC">
        <w:tc>
          <w:tcPr>
            <w:tcW w:w="5201" w:type="dxa"/>
            <w:tcBorders>
              <w:top w:val="single" w:sz="6" w:space="0" w:color="000000"/>
              <w:left w:val="single" w:sz="6" w:space="0" w:color="000000"/>
              <w:bottom w:val="single" w:sz="6" w:space="0" w:color="000000"/>
              <w:right w:val="single" w:sz="4" w:space="0" w:color="auto"/>
            </w:tcBorders>
            <w:shd w:val="clear" w:color="auto" w:fill="5B9BD5"/>
          </w:tcPr>
          <w:p w:rsidR="00F51376" w:rsidRPr="009549BC" w:rsidRDefault="00495C24" w:rsidP="00AD31A0">
            <w:pPr>
              <w:spacing w:after="58"/>
              <w:rPr>
                <w:rFonts w:asciiTheme="minorHAnsi" w:hAnsiTheme="minorHAnsi"/>
                <w:sz w:val="22"/>
                <w:szCs w:val="22"/>
              </w:rPr>
            </w:pPr>
            <w:r w:rsidRPr="009549BC">
              <w:rPr>
                <w:rFonts w:asciiTheme="minorHAnsi" w:hAnsiTheme="minorHAnsi"/>
                <w:sz w:val="22"/>
                <w:szCs w:val="22"/>
              </w:rPr>
              <w:t>Annual Leave:</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F51376" w:rsidRPr="009549BC" w:rsidRDefault="00495C24" w:rsidP="00AD31A0">
            <w:pPr>
              <w:spacing w:after="58"/>
              <w:rPr>
                <w:rFonts w:asciiTheme="minorHAnsi" w:hAnsiTheme="minorHAnsi"/>
                <w:sz w:val="22"/>
                <w:szCs w:val="22"/>
              </w:rPr>
            </w:pPr>
            <w:r w:rsidRPr="009549BC">
              <w:rPr>
                <w:rFonts w:asciiTheme="minorHAnsi" w:hAnsiTheme="minorHAnsi"/>
                <w:sz w:val="22"/>
                <w:szCs w:val="22"/>
              </w:rPr>
              <w:t>25 days per year</w:t>
            </w:r>
          </w:p>
        </w:tc>
      </w:tr>
      <w:tr w:rsidR="00022E8A" w:rsidRPr="00495C24" w:rsidTr="009549BC">
        <w:tc>
          <w:tcPr>
            <w:tcW w:w="5201" w:type="dxa"/>
            <w:tcBorders>
              <w:top w:val="single" w:sz="6" w:space="0" w:color="000000"/>
              <w:left w:val="single" w:sz="6" w:space="0" w:color="000000"/>
              <w:bottom w:val="single" w:sz="6" w:space="0" w:color="000000"/>
              <w:right w:val="single" w:sz="4" w:space="0" w:color="auto"/>
            </w:tcBorders>
            <w:shd w:val="clear" w:color="auto" w:fill="5B9BD5"/>
          </w:tcPr>
          <w:p w:rsidR="00022E8A" w:rsidRPr="009549BC" w:rsidRDefault="00495C24" w:rsidP="00AD31A0">
            <w:pPr>
              <w:spacing w:after="58"/>
              <w:rPr>
                <w:rFonts w:asciiTheme="minorHAnsi" w:hAnsiTheme="minorHAnsi" w:cs="Microsoft Sans Serif"/>
                <w:sz w:val="22"/>
                <w:szCs w:val="22"/>
              </w:rPr>
            </w:pPr>
            <w:r w:rsidRPr="009549BC">
              <w:rPr>
                <w:rFonts w:asciiTheme="minorHAnsi" w:hAnsiTheme="minorHAnsi" w:cs="Microsoft Sans Serif"/>
                <w:sz w:val="22"/>
                <w:szCs w:val="22"/>
              </w:rPr>
              <w:t>Probationary Period:</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022E8A" w:rsidRPr="009549BC" w:rsidRDefault="009549BC" w:rsidP="00AD31A0">
            <w:pPr>
              <w:spacing w:after="58"/>
              <w:rPr>
                <w:rFonts w:asciiTheme="minorHAnsi" w:hAnsiTheme="minorHAnsi"/>
                <w:sz w:val="22"/>
                <w:szCs w:val="22"/>
              </w:rPr>
            </w:pPr>
            <w:r w:rsidRPr="009549BC">
              <w:rPr>
                <w:rFonts w:asciiTheme="minorHAnsi" w:hAnsiTheme="minorHAnsi"/>
                <w:sz w:val="22"/>
                <w:szCs w:val="22"/>
              </w:rPr>
              <w:t>6 months</w:t>
            </w:r>
          </w:p>
        </w:tc>
      </w:tr>
      <w:tr w:rsidR="00022E8A" w:rsidRPr="00495C24" w:rsidTr="009549BC">
        <w:tc>
          <w:tcPr>
            <w:tcW w:w="5201" w:type="dxa"/>
            <w:tcBorders>
              <w:top w:val="single" w:sz="6" w:space="0" w:color="000000"/>
              <w:left w:val="single" w:sz="6" w:space="0" w:color="000000"/>
              <w:bottom w:val="single" w:sz="6" w:space="0" w:color="000000"/>
              <w:right w:val="single" w:sz="4" w:space="0" w:color="auto"/>
            </w:tcBorders>
            <w:shd w:val="clear" w:color="auto" w:fill="5B9BD5"/>
          </w:tcPr>
          <w:p w:rsidR="00022E8A" w:rsidRPr="009549BC" w:rsidRDefault="00495C24" w:rsidP="00AD31A0">
            <w:pPr>
              <w:spacing w:after="58"/>
              <w:rPr>
                <w:rFonts w:asciiTheme="minorHAnsi" w:hAnsiTheme="minorHAnsi" w:cs="Microsoft Sans Serif"/>
                <w:sz w:val="22"/>
                <w:szCs w:val="22"/>
              </w:rPr>
            </w:pPr>
            <w:r w:rsidRPr="009549BC">
              <w:rPr>
                <w:rFonts w:asciiTheme="minorHAnsi" w:hAnsiTheme="minorHAnsi" w:cs="Microsoft Sans Serif"/>
                <w:sz w:val="22"/>
                <w:szCs w:val="22"/>
              </w:rPr>
              <w:t>Pension:</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495C24" w:rsidRPr="009549BC" w:rsidRDefault="00495C24" w:rsidP="00495C24">
            <w:pPr>
              <w:rPr>
                <w:rFonts w:asciiTheme="minorHAnsi" w:hAnsiTheme="minorHAnsi"/>
                <w:sz w:val="22"/>
                <w:szCs w:val="22"/>
              </w:rPr>
            </w:pPr>
            <w:r w:rsidRPr="009549BC">
              <w:rPr>
                <w:rFonts w:asciiTheme="minorHAnsi" w:hAnsiTheme="minorHAnsi"/>
                <w:sz w:val="22"/>
                <w:szCs w:val="22"/>
              </w:rPr>
              <w:t>There will be (up to) 5% matched pension, after completion of probationary period</w:t>
            </w:r>
          </w:p>
          <w:p w:rsidR="00022E8A" w:rsidRPr="009549BC" w:rsidRDefault="00022E8A" w:rsidP="00AD31A0">
            <w:pPr>
              <w:spacing w:after="58"/>
              <w:rPr>
                <w:rFonts w:asciiTheme="minorHAnsi" w:hAnsiTheme="minorHAnsi"/>
                <w:sz w:val="22"/>
                <w:szCs w:val="22"/>
              </w:rPr>
            </w:pPr>
          </w:p>
        </w:tc>
      </w:tr>
    </w:tbl>
    <w:p w:rsidR="00461D68" w:rsidRPr="00896EE8" w:rsidRDefault="00461D68" w:rsidP="00EF0031">
      <w:pPr>
        <w:jc w:val="both"/>
      </w:pPr>
    </w:p>
    <w:sectPr w:rsidR="00461D68" w:rsidRPr="00896EE8" w:rsidSect="00B23F7F">
      <w:footerReference w:type="even" r:id="rId9"/>
      <w:footerReference w:type="default" r:id="rId10"/>
      <w:pgSz w:w="12240" w:h="15840"/>
      <w:pgMar w:top="1440" w:right="1440" w:bottom="12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6BC" w:rsidRDefault="000276BC">
      <w:r>
        <w:separator/>
      </w:r>
    </w:p>
  </w:endnote>
  <w:endnote w:type="continuationSeparator" w:id="0">
    <w:p w:rsidR="000276BC" w:rsidRDefault="000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IN Condensed">
    <w:altName w:val="DIN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24" w:rsidRDefault="00495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C24" w:rsidRDefault="0049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24" w:rsidRDefault="00495C24">
    <w:pPr>
      <w:pStyle w:val="Footer"/>
      <w:framePr w:wrap="around" w:vAnchor="text" w:hAnchor="margin" w:xAlign="center" w:y="1"/>
      <w:rPr>
        <w:rStyle w:val="PageNumber"/>
        <w:rFonts w:ascii="Microsoft Sans Serif" w:hAnsi="Microsoft Sans Serif" w:cs="Microsoft Sans Serif"/>
        <w:sz w:val="20"/>
        <w:szCs w:val="20"/>
      </w:rPr>
    </w:pPr>
    <w:r>
      <w:rPr>
        <w:rStyle w:val="PageNumber"/>
        <w:rFonts w:ascii="Microsoft Sans Serif" w:hAnsi="Microsoft Sans Serif" w:cs="Microsoft Sans Serif"/>
        <w:sz w:val="20"/>
        <w:szCs w:val="20"/>
      </w:rPr>
      <w:fldChar w:fldCharType="begin"/>
    </w:r>
    <w:r>
      <w:rPr>
        <w:rStyle w:val="PageNumber"/>
        <w:rFonts w:ascii="Microsoft Sans Serif" w:hAnsi="Microsoft Sans Serif" w:cs="Microsoft Sans Serif"/>
        <w:sz w:val="20"/>
        <w:szCs w:val="20"/>
      </w:rPr>
      <w:instrText xml:space="preserve">PAGE  </w:instrText>
    </w:r>
    <w:r>
      <w:rPr>
        <w:rStyle w:val="PageNumber"/>
        <w:rFonts w:ascii="Microsoft Sans Serif" w:hAnsi="Microsoft Sans Serif" w:cs="Microsoft Sans Serif"/>
        <w:sz w:val="20"/>
        <w:szCs w:val="20"/>
      </w:rPr>
      <w:fldChar w:fldCharType="separate"/>
    </w:r>
    <w:r w:rsidR="006B089E">
      <w:rPr>
        <w:rStyle w:val="PageNumber"/>
        <w:rFonts w:ascii="Microsoft Sans Serif" w:hAnsi="Microsoft Sans Serif" w:cs="Microsoft Sans Serif"/>
        <w:noProof/>
        <w:sz w:val="20"/>
        <w:szCs w:val="20"/>
      </w:rPr>
      <w:t>2</w:t>
    </w:r>
    <w:r>
      <w:rPr>
        <w:rStyle w:val="PageNumber"/>
        <w:rFonts w:ascii="Microsoft Sans Serif" w:hAnsi="Microsoft Sans Serif" w:cs="Microsoft Sans Serif"/>
        <w:sz w:val="20"/>
        <w:szCs w:val="20"/>
      </w:rPr>
      <w:fldChar w:fldCharType="end"/>
    </w:r>
  </w:p>
  <w:p w:rsidR="00495C24" w:rsidRDefault="0049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6BC" w:rsidRDefault="000276BC">
      <w:r>
        <w:separator/>
      </w:r>
    </w:p>
  </w:footnote>
  <w:footnote w:type="continuationSeparator" w:id="0">
    <w:p w:rsidR="000276BC" w:rsidRDefault="0002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CFA"/>
    <w:multiLevelType w:val="hybridMultilevel"/>
    <w:tmpl w:val="9D0A2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E60AD"/>
    <w:multiLevelType w:val="hybridMultilevel"/>
    <w:tmpl w:val="5E44D242"/>
    <w:lvl w:ilvl="0" w:tplc="FFFFFFFF">
      <w:start w:val="1"/>
      <w:numFmt w:val="decimal"/>
      <w:lvlText w:val="%1"/>
      <w:lvlJc w:val="left"/>
      <w:pPr>
        <w:tabs>
          <w:tab w:val="num" w:pos="1080"/>
        </w:tabs>
        <w:ind w:left="108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CD290C"/>
    <w:multiLevelType w:val="hybridMultilevel"/>
    <w:tmpl w:val="77846E1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507A2"/>
    <w:multiLevelType w:val="hybridMultilevel"/>
    <w:tmpl w:val="A0F6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45DC5"/>
    <w:multiLevelType w:val="hybridMultilevel"/>
    <w:tmpl w:val="EDA09D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F1B3D"/>
    <w:multiLevelType w:val="multilevel"/>
    <w:tmpl w:val="B6A8B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96F26AF"/>
    <w:multiLevelType w:val="hybridMultilevel"/>
    <w:tmpl w:val="92F8A870"/>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A959BB"/>
    <w:multiLevelType w:val="hybridMultilevel"/>
    <w:tmpl w:val="ACE692C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6C501E"/>
    <w:multiLevelType w:val="hybridMultilevel"/>
    <w:tmpl w:val="C5280C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096B36"/>
    <w:multiLevelType w:val="hybridMultilevel"/>
    <w:tmpl w:val="769EF80C"/>
    <w:lvl w:ilvl="0" w:tplc="77D0EB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301E29"/>
    <w:multiLevelType w:val="hybridMultilevel"/>
    <w:tmpl w:val="47501AA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F9674A"/>
    <w:multiLevelType w:val="hybridMultilevel"/>
    <w:tmpl w:val="49F2472C"/>
    <w:lvl w:ilvl="0" w:tplc="30EAFB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4FA6EC3"/>
    <w:multiLevelType w:val="hybridMultilevel"/>
    <w:tmpl w:val="FCE0B9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BA833E6"/>
    <w:multiLevelType w:val="hybridMultilevel"/>
    <w:tmpl w:val="57000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247A8"/>
    <w:multiLevelType w:val="multilevel"/>
    <w:tmpl w:val="10A2917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A46E7E"/>
    <w:multiLevelType w:val="hybridMultilevel"/>
    <w:tmpl w:val="50BC8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2C195F"/>
    <w:multiLevelType w:val="hybridMultilevel"/>
    <w:tmpl w:val="F4BA4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E55B8"/>
    <w:multiLevelType w:val="hybridMultilevel"/>
    <w:tmpl w:val="A58C8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E5C9E"/>
    <w:multiLevelType w:val="hybridMultilevel"/>
    <w:tmpl w:val="D402F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2D1C04"/>
    <w:multiLevelType w:val="hybridMultilevel"/>
    <w:tmpl w:val="C870FD90"/>
    <w:lvl w:ilvl="0" w:tplc="359E6A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F0C109C"/>
    <w:multiLevelType w:val="hybridMultilevel"/>
    <w:tmpl w:val="B5366678"/>
    <w:lvl w:ilvl="0" w:tplc="8A788C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133101"/>
    <w:multiLevelType w:val="hybridMultilevel"/>
    <w:tmpl w:val="8730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A00C9"/>
    <w:multiLevelType w:val="hybridMultilevel"/>
    <w:tmpl w:val="95F8D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C7F9C"/>
    <w:multiLevelType w:val="hybridMultilevel"/>
    <w:tmpl w:val="D1A4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200DE"/>
    <w:multiLevelType w:val="hybridMultilevel"/>
    <w:tmpl w:val="58FC5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031601"/>
    <w:multiLevelType w:val="hybridMultilevel"/>
    <w:tmpl w:val="31B073EC"/>
    <w:lvl w:ilvl="0" w:tplc="6504E4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220167"/>
    <w:multiLevelType w:val="hybridMultilevel"/>
    <w:tmpl w:val="96E41E4A"/>
    <w:lvl w:ilvl="0" w:tplc="546C45F8">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082464D"/>
    <w:multiLevelType w:val="hybridMultilevel"/>
    <w:tmpl w:val="91E6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9795D"/>
    <w:multiLevelType w:val="hybridMultilevel"/>
    <w:tmpl w:val="64C65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F33C3"/>
    <w:multiLevelType w:val="hybridMultilevel"/>
    <w:tmpl w:val="D98A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040EB"/>
    <w:multiLevelType w:val="hybridMultilevel"/>
    <w:tmpl w:val="23CA7A5C"/>
    <w:lvl w:ilvl="0" w:tplc="E51886F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18CFE22">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751AA6"/>
    <w:multiLevelType w:val="hybridMultilevel"/>
    <w:tmpl w:val="219A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F1883"/>
    <w:multiLevelType w:val="hybridMultilevel"/>
    <w:tmpl w:val="3BC2D5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275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A004D7"/>
    <w:multiLevelType w:val="hybridMultilevel"/>
    <w:tmpl w:val="DBF26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046FC1"/>
    <w:multiLevelType w:val="hybridMultilevel"/>
    <w:tmpl w:val="048EF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E73BEC"/>
    <w:multiLevelType w:val="hybridMultilevel"/>
    <w:tmpl w:val="4E6E5190"/>
    <w:lvl w:ilvl="0" w:tplc="5002DF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5EE28CD"/>
    <w:multiLevelType w:val="hybridMultilevel"/>
    <w:tmpl w:val="10A2917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51790"/>
    <w:multiLevelType w:val="multilevel"/>
    <w:tmpl w:val="3300CFC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C364C0"/>
    <w:multiLevelType w:val="multilevel"/>
    <w:tmpl w:val="95F8D9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B0B3A"/>
    <w:multiLevelType w:val="hybridMultilevel"/>
    <w:tmpl w:val="A230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43EB7"/>
    <w:multiLevelType w:val="hybridMultilevel"/>
    <w:tmpl w:val="65A0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B338D"/>
    <w:multiLevelType w:val="hybridMultilevel"/>
    <w:tmpl w:val="B478D5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14EAD"/>
    <w:multiLevelType w:val="hybridMultilevel"/>
    <w:tmpl w:val="023890BC"/>
    <w:lvl w:ilvl="0" w:tplc="CB1C71E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1E191D"/>
    <w:multiLevelType w:val="hybridMultilevel"/>
    <w:tmpl w:val="3F0E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84159"/>
    <w:multiLevelType w:val="hybridMultilevel"/>
    <w:tmpl w:val="D9B8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6"/>
  </w:num>
  <w:num w:numId="4">
    <w:abstractNumId w:val="20"/>
  </w:num>
  <w:num w:numId="5">
    <w:abstractNumId w:val="19"/>
  </w:num>
  <w:num w:numId="6">
    <w:abstractNumId w:val="25"/>
  </w:num>
  <w:num w:numId="7">
    <w:abstractNumId w:val="13"/>
  </w:num>
  <w:num w:numId="8">
    <w:abstractNumId w:val="12"/>
  </w:num>
  <w:num w:numId="9">
    <w:abstractNumId w:val="1"/>
  </w:num>
  <w:num w:numId="10">
    <w:abstractNumId w:val="42"/>
  </w:num>
  <w:num w:numId="11">
    <w:abstractNumId w:val="9"/>
  </w:num>
  <w:num w:numId="12">
    <w:abstractNumId w:val="43"/>
  </w:num>
  <w:num w:numId="13">
    <w:abstractNumId w:val="8"/>
  </w:num>
  <w:num w:numId="14">
    <w:abstractNumId w:val="15"/>
  </w:num>
  <w:num w:numId="15">
    <w:abstractNumId w:val="41"/>
  </w:num>
  <w:num w:numId="16">
    <w:abstractNumId w:val="17"/>
  </w:num>
  <w:num w:numId="17">
    <w:abstractNumId w:val="0"/>
  </w:num>
  <w:num w:numId="18">
    <w:abstractNumId w:val="4"/>
  </w:num>
  <w:num w:numId="19">
    <w:abstractNumId w:val="7"/>
  </w:num>
  <w:num w:numId="20">
    <w:abstractNumId w:val="2"/>
  </w:num>
  <w:num w:numId="21">
    <w:abstractNumId w:val="37"/>
  </w:num>
  <w:num w:numId="22">
    <w:abstractNumId w:val="14"/>
  </w:num>
  <w:num w:numId="23">
    <w:abstractNumId w:val="22"/>
  </w:num>
  <w:num w:numId="24">
    <w:abstractNumId w:val="39"/>
  </w:num>
  <w:num w:numId="25">
    <w:abstractNumId w:val="34"/>
  </w:num>
  <w:num w:numId="26">
    <w:abstractNumId w:val="18"/>
  </w:num>
  <w:num w:numId="27">
    <w:abstractNumId w:val="3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6"/>
  </w:num>
  <w:num w:numId="31">
    <w:abstractNumId w:val="10"/>
  </w:num>
  <w:num w:numId="32">
    <w:abstractNumId w:val="33"/>
  </w:num>
  <w:num w:numId="33">
    <w:abstractNumId w:val="38"/>
  </w:num>
  <w:num w:numId="34">
    <w:abstractNumId w:val="32"/>
  </w:num>
  <w:num w:numId="35">
    <w:abstractNumId w:val="28"/>
  </w:num>
  <w:num w:numId="36">
    <w:abstractNumId w:val="29"/>
  </w:num>
  <w:num w:numId="37">
    <w:abstractNumId w:val="23"/>
  </w:num>
  <w:num w:numId="38">
    <w:abstractNumId w:val="3"/>
  </w:num>
  <w:num w:numId="39">
    <w:abstractNumId w:val="27"/>
  </w:num>
  <w:num w:numId="40">
    <w:abstractNumId w:val="40"/>
  </w:num>
  <w:num w:numId="41">
    <w:abstractNumId w:val="24"/>
  </w:num>
  <w:num w:numId="42">
    <w:abstractNumId w:val="16"/>
  </w:num>
  <w:num w:numId="43">
    <w:abstractNumId w:val="44"/>
  </w:num>
  <w:num w:numId="44">
    <w:abstractNumId w:val="31"/>
  </w:num>
  <w:num w:numId="45">
    <w:abstractNumId w:val="2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BC"/>
    <w:rsid w:val="00006580"/>
    <w:rsid w:val="00022E8A"/>
    <w:rsid w:val="000276BC"/>
    <w:rsid w:val="000307C5"/>
    <w:rsid w:val="00042A88"/>
    <w:rsid w:val="00047C25"/>
    <w:rsid w:val="0005276A"/>
    <w:rsid w:val="0005589D"/>
    <w:rsid w:val="00064131"/>
    <w:rsid w:val="00066CDC"/>
    <w:rsid w:val="00076A51"/>
    <w:rsid w:val="00082C52"/>
    <w:rsid w:val="0008415B"/>
    <w:rsid w:val="00091BB9"/>
    <w:rsid w:val="00094016"/>
    <w:rsid w:val="000A40C9"/>
    <w:rsid w:val="000D1A7E"/>
    <w:rsid w:val="000E239C"/>
    <w:rsid w:val="000F2914"/>
    <w:rsid w:val="000F6EDB"/>
    <w:rsid w:val="0012243E"/>
    <w:rsid w:val="00131D3E"/>
    <w:rsid w:val="00147DD3"/>
    <w:rsid w:val="00170B7F"/>
    <w:rsid w:val="001726DF"/>
    <w:rsid w:val="0017599B"/>
    <w:rsid w:val="00176B2D"/>
    <w:rsid w:val="00186FDD"/>
    <w:rsid w:val="001956A8"/>
    <w:rsid w:val="001A0F3D"/>
    <w:rsid w:val="001B1806"/>
    <w:rsid w:val="001C5204"/>
    <w:rsid w:val="001C6E31"/>
    <w:rsid w:val="001F0481"/>
    <w:rsid w:val="001F399A"/>
    <w:rsid w:val="001F3D11"/>
    <w:rsid w:val="002069BD"/>
    <w:rsid w:val="00214B1A"/>
    <w:rsid w:val="00225E33"/>
    <w:rsid w:val="00272D06"/>
    <w:rsid w:val="00282336"/>
    <w:rsid w:val="0028476F"/>
    <w:rsid w:val="00294604"/>
    <w:rsid w:val="002A0463"/>
    <w:rsid w:val="002B6183"/>
    <w:rsid w:val="002C2824"/>
    <w:rsid w:val="002C43EE"/>
    <w:rsid w:val="002C525D"/>
    <w:rsid w:val="002D2E8A"/>
    <w:rsid w:val="002D68E2"/>
    <w:rsid w:val="002E1CF7"/>
    <w:rsid w:val="002E57F5"/>
    <w:rsid w:val="003057C1"/>
    <w:rsid w:val="00311248"/>
    <w:rsid w:val="003529E1"/>
    <w:rsid w:val="0035327F"/>
    <w:rsid w:val="003946F2"/>
    <w:rsid w:val="00396807"/>
    <w:rsid w:val="003973A0"/>
    <w:rsid w:val="003B15E2"/>
    <w:rsid w:val="003B4C30"/>
    <w:rsid w:val="003C70B7"/>
    <w:rsid w:val="003D727C"/>
    <w:rsid w:val="00405DC7"/>
    <w:rsid w:val="004061EC"/>
    <w:rsid w:val="0042653A"/>
    <w:rsid w:val="0044052C"/>
    <w:rsid w:val="00452EB2"/>
    <w:rsid w:val="004603E2"/>
    <w:rsid w:val="00461D68"/>
    <w:rsid w:val="00462324"/>
    <w:rsid w:val="004725C4"/>
    <w:rsid w:val="00473F8A"/>
    <w:rsid w:val="00485650"/>
    <w:rsid w:val="00495C24"/>
    <w:rsid w:val="00497EA4"/>
    <w:rsid w:val="004A35E3"/>
    <w:rsid w:val="004D37A3"/>
    <w:rsid w:val="004E3319"/>
    <w:rsid w:val="004E57C2"/>
    <w:rsid w:val="00520664"/>
    <w:rsid w:val="00525102"/>
    <w:rsid w:val="0053000C"/>
    <w:rsid w:val="00573C5D"/>
    <w:rsid w:val="005809D2"/>
    <w:rsid w:val="00592FF8"/>
    <w:rsid w:val="005A7C41"/>
    <w:rsid w:val="005B1278"/>
    <w:rsid w:val="005B1A7D"/>
    <w:rsid w:val="005C51AD"/>
    <w:rsid w:val="006078BE"/>
    <w:rsid w:val="0063480A"/>
    <w:rsid w:val="00651CD8"/>
    <w:rsid w:val="00656331"/>
    <w:rsid w:val="00661907"/>
    <w:rsid w:val="00662F1D"/>
    <w:rsid w:val="0068634F"/>
    <w:rsid w:val="00697D8D"/>
    <w:rsid w:val="006A5437"/>
    <w:rsid w:val="006B089E"/>
    <w:rsid w:val="006B2E7D"/>
    <w:rsid w:val="006B3B58"/>
    <w:rsid w:val="006C32DC"/>
    <w:rsid w:val="006C5C92"/>
    <w:rsid w:val="006C63D9"/>
    <w:rsid w:val="006C79F4"/>
    <w:rsid w:val="006D411F"/>
    <w:rsid w:val="006D7BCF"/>
    <w:rsid w:val="006E698A"/>
    <w:rsid w:val="007139B9"/>
    <w:rsid w:val="00742CCB"/>
    <w:rsid w:val="00767F4B"/>
    <w:rsid w:val="00770572"/>
    <w:rsid w:val="007719C5"/>
    <w:rsid w:val="0077463C"/>
    <w:rsid w:val="007A0B96"/>
    <w:rsid w:val="007A65EB"/>
    <w:rsid w:val="007B6549"/>
    <w:rsid w:val="007B74CA"/>
    <w:rsid w:val="007C3BA7"/>
    <w:rsid w:val="007C6627"/>
    <w:rsid w:val="007F0560"/>
    <w:rsid w:val="00800EE8"/>
    <w:rsid w:val="008054DB"/>
    <w:rsid w:val="00806125"/>
    <w:rsid w:val="00815D34"/>
    <w:rsid w:val="00823323"/>
    <w:rsid w:val="00832882"/>
    <w:rsid w:val="008845FB"/>
    <w:rsid w:val="0088481C"/>
    <w:rsid w:val="00885128"/>
    <w:rsid w:val="00896EE8"/>
    <w:rsid w:val="008A4C8A"/>
    <w:rsid w:val="008A669F"/>
    <w:rsid w:val="008B4BA9"/>
    <w:rsid w:val="008B78E0"/>
    <w:rsid w:val="008C7E72"/>
    <w:rsid w:val="008D0E02"/>
    <w:rsid w:val="008D6C0E"/>
    <w:rsid w:val="00902A52"/>
    <w:rsid w:val="00916D3F"/>
    <w:rsid w:val="0091738C"/>
    <w:rsid w:val="009174F0"/>
    <w:rsid w:val="00932416"/>
    <w:rsid w:val="009330CA"/>
    <w:rsid w:val="0094701F"/>
    <w:rsid w:val="009549BC"/>
    <w:rsid w:val="009635CF"/>
    <w:rsid w:val="0096735B"/>
    <w:rsid w:val="009942C6"/>
    <w:rsid w:val="0099578E"/>
    <w:rsid w:val="00995B09"/>
    <w:rsid w:val="009A53B7"/>
    <w:rsid w:val="009A5F75"/>
    <w:rsid w:val="009E080C"/>
    <w:rsid w:val="009F37FE"/>
    <w:rsid w:val="009F4DCC"/>
    <w:rsid w:val="009F5CA6"/>
    <w:rsid w:val="009F7D28"/>
    <w:rsid w:val="00A0183F"/>
    <w:rsid w:val="00A0417D"/>
    <w:rsid w:val="00A12BA5"/>
    <w:rsid w:val="00A1421A"/>
    <w:rsid w:val="00A152C5"/>
    <w:rsid w:val="00A16569"/>
    <w:rsid w:val="00A216D6"/>
    <w:rsid w:val="00A23177"/>
    <w:rsid w:val="00A51F16"/>
    <w:rsid w:val="00A53C26"/>
    <w:rsid w:val="00A56ABF"/>
    <w:rsid w:val="00A83CFA"/>
    <w:rsid w:val="00AA1398"/>
    <w:rsid w:val="00AA5FF9"/>
    <w:rsid w:val="00AB0832"/>
    <w:rsid w:val="00AD31A0"/>
    <w:rsid w:val="00AD340A"/>
    <w:rsid w:val="00AD6A63"/>
    <w:rsid w:val="00AE1BE7"/>
    <w:rsid w:val="00AF55E5"/>
    <w:rsid w:val="00B03D6D"/>
    <w:rsid w:val="00B04287"/>
    <w:rsid w:val="00B1058C"/>
    <w:rsid w:val="00B15F1B"/>
    <w:rsid w:val="00B204E0"/>
    <w:rsid w:val="00B23F7F"/>
    <w:rsid w:val="00B51F2E"/>
    <w:rsid w:val="00B54590"/>
    <w:rsid w:val="00B60FD4"/>
    <w:rsid w:val="00B62229"/>
    <w:rsid w:val="00B75664"/>
    <w:rsid w:val="00B77251"/>
    <w:rsid w:val="00B83A33"/>
    <w:rsid w:val="00B906CD"/>
    <w:rsid w:val="00B948E5"/>
    <w:rsid w:val="00BB1AB7"/>
    <w:rsid w:val="00BB45ED"/>
    <w:rsid w:val="00BF08A7"/>
    <w:rsid w:val="00C02320"/>
    <w:rsid w:val="00C06CEC"/>
    <w:rsid w:val="00C12A23"/>
    <w:rsid w:val="00C27685"/>
    <w:rsid w:val="00C44631"/>
    <w:rsid w:val="00C51214"/>
    <w:rsid w:val="00C639CF"/>
    <w:rsid w:val="00C7300A"/>
    <w:rsid w:val="00C75B8C"/>
    <w:rsid w:val="00C93BF9"/>
    <w:rsid w:val="00CB23B3"/>
    <w:rsid w:val="00CB500F"/>
    <w:rsid w:val="00CB6C99"/>
    <w:rsid w:val="00CC4D79"/>
    <w:rsid w:val="00CC6F63"/>
    <w:rsid w:val="00D3460A"/>
    <w:rsid w:val="00D3779D"/>
    <w:rsid w:val="00D40EC2"/>
    <w:rsid w:val="00D4246F"/>
    <w:rsid w:val="00D43677"/>
    <w:rsid w:val="00D53368"/>
    <w:rsid w:val="00D56E06"/>
    <w:rsid w:val="00D663D4"/>
    <w:rsid w:val="00D7178D"/>
    <w:rsid w:val="00D7232C"/>
    <w:rsid w:val="00D75C2C"/>
    <w:rsid w:val="00D76636"/>
    <w:rsid w:val="00D77200"/>
    <w:rsid w:val="00D82007"/>
    <w:rsid w:val="00D84E17"/>
    <w:rsid w:val="00D87B1E"/>
    <w:rsid w:val="00D95474"/>
    <w:rsid w:val="00DA156E"/>
    <w:rsid w:val="00DA42B2"/>
    <w:rsid w:val="00DF312C"/>
    <w:rsid w:val="00DF3A1F"/>
    <w:rsid w:val="00E1591C"/>
    <w:rsid w:val="00E203F2"/>
    <w:rsid w:val="00E21F28"/>
    <w:rsid w:val="00E3215B"/>
    <w:rsid w:val="00E3535C"/>
    <w:rsid w:val="00E42C05"/>
    <w:rsid w:val="00E76403"/>
    <w:rsid w:val="00E84864"/>
    <w:rsid w:val="00E86BFF"/>
    <w:rsid w:val="00E86F11"/>
    <w:rsid w:val="00E937CE"/>
    <w:rsid w:val="00EA2E37"/>
    <w:rsid w:val="00EA34B1"/>
    <w:rsid w:val="00EB2DE8"/>
    <w:rsid w:val="00EC6F7D"/>
    <w:rsid w:val="00EE71C3"/>
    <w:rsid w:val="00EF0031"/>
    <w:rsid w:val="00F0494D"/>
    <w:rsid w:val="00F0786D"/>
    <w:rsid w:val="00F1331B"/>
    <w:rsid w:val="00F317F7"/>
    <w:rsid w:val="00F4739F"/>
    <w:rsid w:val="00F51376"/>
    <w:rsid w:val="00F54C15"/>
    <w:rsid w:val="00F7474D"/>
    <w:rsid w:val="00F74C50"/>
    <w:rsid w:val="00F8124B"/>
    <w:rsid w:val="00F82215"/>
    <w:rsid w:val="00FA36B6"/>
    <w:rsid w:val="00FA3851"/>
    <w:rsid w:val="00FA3DB7"/>
    <w:rsid w:val="00FA5A02"/>
    <w:rsid w:val="00FA5E19"/>
    <w:rsid w:val="00FB28FE"/>
    <w:rsid w:val="00FC7577"/>
    <w:rsid w:val="00FF1C64"/>
    <w:rsid w:val="00FF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B8FEC-700D-4C25-8EF9-3EB49364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650"/>
    <w:rPr>
      <w:sz w:val="24"/>
      <w:szCs w:val="24"/>
      <w:lang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ind w:left="360"/>
      <w:jc w:val="both"/>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sid w:val="00461D68"/>
    <w:pPr>
      <w:spacing w:after="120" w:line="480" w:lineRule="auto"/>
    </w:pPr>
  </w:style>
  <w:style w:type="character" w:styleId="CommentReference">
    <w:name w:val="annotation reference"/>
    <w:semiHidden/>
    <w:rsid w:val="00D87B1E"/>
    <w:rPr>
      <w:sz w:val="16"/>
      <w:szCs w:val="16"/>
    </w:rPr>
  </w:style>
  <w:style w:type="paragraph" w:styleId="CommentText">
    <w:name w:val="annotation text"/>
    <w:basedOn w:val="Normal"/>
    <w:semiHidden/>
    <w:rsid w:val="00D87B1E"/>
    <w:rPr>
      <w:sz w:val="20"/>
      <w:szCs w:val="20"/>
    </w:rPr>
  </w:style>
  <w:style w:type="paragraph" w:styleId="CommentSubject">
    <w:name w:val="annotation subject"/>
    <w:basedOn w:val="CommentText"/>
    <w:next w:val="CommentText"/>
    <w:semiHidden/>
    <w:rsid w:val="00D87B1E"/>
    <w:rPr>
      <w:b/>
      <w:bCs/>
    </w:rPr>
  </w:style>
  <w:style w:type="paragraph" w:styleId="NormalWeb">
    <w:name w:val="Normal (Web)"/>
    <w:basedOn w:val="Normal"/>
    <w:rsid w:val="004D37A3"/>
    <w:pPr>
      <w:spacing w:before="100" w:beforeAutospacing="1" w:after="119"/>
    </w:pPr>
    <w:rPr>
      <w:lang w:eastAsia="en-GB"/>
    </w:rPr>
  </w:style>
  <w:style w:type="character" w:customStyle="1" w:styleId="contenttext1">
    <w:name w:val="contenttext1"/>
    <w:rsid w:val="00A51F16"/>
    <w:rPr>
      <w:rFonts w:ascii="Arial" w:hAnsi="Arial" w:cs="Arial" w:hint="default"/>
      <w:strike w:val="0"/>
      <w:dstrike w:val="0"/>
      <w:color w:val="000000"/>
      <w:u w:val="none"/>
      <w:effect w:val="none"/>
    </w:rPr>
  </w:style>
  <w:style w:type="paragraph" w:styleId="ListParagraph">
    <w:name w:val="List Paragraph"/>
    <w:basedOn w:val="Normal"/>
    <w:link w:val="ListParagraphChar"/>
    <w:uiPriority w:val="34"/>
    <w:qFormat/>
    <w:rsid w:val="007A0B96"/>
    <w:pPr>
      <w:spacing w:after="200" w:line="276" w:lineRule="auto"/>
      <w:ind w:left="720"/>
      <w:contextualSpacing/>
    </w:pPr>
    <w:rPr>
      <w:rFonts w:ascii="Calibri" w:hAnsi="Calibri"/>
      <w:sz w:val="22"/>
      <w:szCs w:val="22"/>
      <w:lang w:val="en-US"/>
    </w:rPr>
  </w:style>
  <w:style w:type="paragraph" w:customStyle="1" w:styleId="Default">
    <w:name w:val="Default"/>
    <w:rsid w:val="009549BC"/>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link w:val="ListParagraph"/>
    <w:uiPriority w:val="99"/>
    <w:locked/>
    <w:rsid w:val="009549BC"/>
    <w:rPr>
      <w:rFonts w:ascii="Calibri" w:hAnsi="Calibri"/>
      <w:sz w:val="22"/>
      <w:szCs w:val="22"/>
      <w:lang w:val="en-US" w:eastAsia="en-US"/>
    </w:rPr>
  </w:style>
  <w:style w:type="paragraph" w:styleId="NoSpacing">
    <w:name w:val="No Spacing"/>
    <w:uiPriority w:val="1"/>
    <w:qFormat/>
    <w:rsid w:val="009549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4100">
      <w:bodyDiv w:val="1"/>
      <w:marLeft w:val="0"/>
      <w:marRight w:val="0"/>
      <w:marTop w:val="0"/>
      <w:marBottom w:val="0"/>
      <w:divBdr>
        <w:top w:val="none" w:sz="0" w:space="0" w:color="auto"/>
        <w:left w:val="none" w:sz="0" w:space="0" w:color="auto"/>
        <w:bottom w:val="none" w:sz="0" w:space="0" w:color="auto"/>
        <w:right w:val="none" w:sz="0" w:space="0" w:color="auto"/>
      </w:divBdr>
    </w:div>
    <w:div w:id="864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Admin\Personnel\Job%20descriptions\JD%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42DC-9A39-4083-A86F-A9DD179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 Final</Template>
  <TotalTime>1</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ChildHope</vt:lpstr>
    </vt:vector>
  </TitlesOfParts>
  <Company>Hewlett-Packard Company</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ChildHope</dc:title>
  <dc:subject/>
  <dc:creator>Sandra Noronha</dc:creator>
  <cp:keywords/>
  <cp:lastModifiedBy>Pamela Atherton</cp:lastModifiedBy>
  <cp:revision>2</cp:revision>
  <cp:lastPrinted>2017-11-22T15:59:00Z</cp:lastPrinted>
  <dcterms:created xsi:type="dcterms:W3CDTF">2017-11-24T14:46:00Z</dcterms:created>
  <dcterms:modified xsi:type="dcterms:W3CDTF">2017-11-24T14:46:00Z</dcterms:modified>
</cp:coreProperties>
</file>